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119EB">
      <w:pPr>
        <w:adjustRightInd w:val="0"/>
        <w:snapToGrid w:val="0"/>
        <w:spacing w:before="156" w:beforeLines="50" w:line="360" w:lineRule="auto"/>
        <w:jc w:val="center"/>
        <w:rPr>
          <w:rFonts w:hint="eastAsia" w:ascii="宋体" w:hAnsi="宋体" w:cs="宋体"/>
          <w:b/>
          <w:bCs/>
          <w:sz w:val="52"/>
          <w:szCs w:val="52"/>
        </w:rPr>
      </w:pPr>
    </w:p>
    <w:p w14:paraId="3A0B1379">
      <w:pPr>
        <w:adjustRightInd w:val="0"/>
        <w:snapToGrid w:val="0"/>
        <w:spacing w:before="156" w:beforeLines="50" w:line="360" w:lineRule="auto"/>
        <w:jc w:val="center"/>
        <w:rPr>
          <w:rFonts w:hint="eastAsia" w:ascii="宋体" w:hAnsi="宋体" w:cs="宋体"/>
          <w:b/>
          <w:bCs/>
          <w:sz w:val="52"/>
          <w:szCs w:val="52"/>
        </w:rPr>
      </w:pPr>
    </w:p>
    <w:p w14:paraId="151D128F">
      <w:pPr>
        <w:adjustRightInd w:val="0"/>
        <w:snapToGrid w:val="0"/>
        <w:spacing w:before="156" w:beforeLines="50" w:line="360" w:lineRule="auto"/>
        <w:jc w:val="center"/>
        <w:rPr>
          <w:rFonts w:hint="eastAsia" w:ascii="黑体" w:hAnsi="黑体" w:eastAsia="黑体" w:cs="黑体"/>
          <w:sz w:val="72"/>
          <w:szCs w:val="72"/>
        </w:rPr>
      </w:pPr>
      <w:r>
        <w:rPr>
          <w:rFonts w:hint="eastAsia" w:ascii="宋体" w:hAnsi="宋体" w:cs="宋体"/>
          <w:b/>
          <w:bCs/>
          <w:sz w:val="52"/>
          <w:szCs w:val="52"/>
        </w:rPr>
        <w:t>业主码头收费系统数据整理服务</w:t>
      </w:r>
    </w:p>
    <w:p w14:paraId="0787C759">
      <w:pPr>
        <w:snapToGrid w:val="0"/>
        <w:spacing w:before="156" w:beforeLines="50" w:line="360" w:lineRule="auto"/>
        <w:jc w:val="center"/>
        <w:rPr>
          <w:rFonts w:hint="eastAsia" w:ascii="黑体" w:hAnsi="黑体" w:eastAsia="黑体" w:cs="黑体"/>
          <w:sz w:val="72"/>
          <w:szCs w:val="72"/>
        </w:rPr>
      </w:pPr>
      <w:r>
        <w:rPr>
          <w:rFonts w:hint="eastAsia" w:ascii="黑体" w:hAnsi="黑体" w:eastAsia="黑体" w:cs="黑体"/>
          <w:sz w:val="72"/>
          <w:szCs w:val="72"/>
        </w:rPr>
        <w:t>采购方案</w:t>
      </w:r>
    </w:p>
    <w:p w14:paraId="07C653F8">
      <w:pPr>
        <w:snapToGrid w:val="0"/>
        <w:spacing w:before="156" w:beforeLines="50" w:line="360" w:lineRule="auto"/>
        <w:jc w:val="center"/>
        <w:rPr>
          <w:rFonts w:hint="eastAsia" w:ascii="黑体" w:hAnsi="黑体" w:eastAsia="黑体" w:cs="黑体"/>
          <w:sz w:val="72"/>
          <w:szCs w:val="72"/>
        </w:rPr>
      </w:pPr>
    </w:p>
    <w:p w14:paraId="20ACFE64">
      <w:pPr>
        <w:spacing w:line="360" w:lineRule="auto"/>
        <w:jc w:val="center"/>
        <w:rPr>
          <w:rFonts w:hint="eastAsia" w:ascii="宋体" w:hAnsi="宋体"/>
          <w:b/>
          <w:sz w:val="32"/>
          <w:szCs w:val="32"/>
        </w:rPr>
      </w:pPr>
    </w:p>
    <w:p w14:paraId="54614DA4">
      <w:pPr>
        <w:spacing w:line="360" w:lineRule="auto"/>
        <w:jc w:val="center"/>
        <w:rPr>
          <w:rFonts w:hint="eastAsia" w:ascii="宋体" w:hAnsi="宋体"/>
          <w:b/>
          <w:sz w:val="32"/>
          <w:szCs w:val="32"/>
        </w:rPr>
      </w:pPr>
    </w:p>
    <w:p w14:paraId="112FECB5">
      <w:pPr>
        <w:spacing w:line="360" w:lineRule="auto"/>
        <w:jc w:val="center"/>
        <w:rPr>
          <w:rFonts w:hint="eastAsia" w:ascii="宋体" w:hAnsi="宋体"/>
          <w:b/>
          <w:sz w:val="32"/>
          <w:szCs w:val="32"/>
        </w:rPr>
      </w:pPr>
    </w:p>
    <w:p w14:paraId="5C41817D">
      <w:pPr>
        <w:pStyle w:val="22"/>
        <w:spacing w:line="360" w:lineRule="auto"/>
        <w:rPr>
          <w:rFonts w:hint="eastAsia" w:ascii="宋体" w:hAnsi="宋体"/>
          <w:b/>
          <w:sz w:val="32"/>
          <w:szCs w:val="32"/>
        </w:rPr>
      </w:pPr>
    </w:p>
    <w:p w14:paraId="620D0BA2">
      <w:pPr>
        <w:spacing w:line="360" w:lineRule="auto"/>
        <w:ind w:firstLine="1285" w:firstLineChars="400"/>
        <w:rPr>
          <w:rFonts w:hint="eastAsia" w:ascii="仿宋_GB2312" w:hAnsi="宋体" w:eastAsia="仿宋_GB2312"/>
          <w:b/>
          <w:sz w:val="32"/>
          <w:szCs w:val="32"/>
        </w:rPr>
      </w:pPr>
    </w:p>
    <w:p w14:paraId="56317395">
      <w:pPr>
        <w:spacing w:line="360" w:lineRule="auto"/>
        <w:jc w:val="center"/>
        <w:rPr>
          <w:rFonts w:hint="eastAsia" w:ascii="宋体" w:hAnsi="宋体" w:cs="宋体"/>
          <w:b/>
          <w:sz w:val="32"/>
          <w:szCs w:val="32"/>
        </w:rPr>
      </w:pPr>
      <w:r>
        <w:rPr>
          <w:rFonts w:hint="eastAsia" w:ascii="宋体" w:hAnsi="宋体" w:cs="宋体"/>
          <w:b/>
          <w:sz w:val="32"/>
          <w:szCs w:val="32"/>
        </w:rPr>
        <w:t>采购人：广西壮族自治区</w:t>
      </w:r>
      <w:r>
        <w:rPr>
          <w:rFonts w:hint="eastAsia" w:ascii="宋体" w:hAnsi="宋体" w:cs="宋体"/>
          <w:b/>
          <w:sz w:val="32"/>
          <w:szCs w:val="32"/>
          <w:lang w:eastAsia="zh-CN"/>
        </w:rPr>
        <w:t>水运</w:t>
      </w:r>
      <w:r>
        <w:rPr>
          <w:rFonts w:hint="eastAsia" w:ascii="宋体" w:hAnsi="宋体" w:cs="宋体"/>
          <w:b/>
          <w:sz w:val="32"/>
          <w:szCs w:val="32"/>
        </w:rPr>
        <w:t>发展中心</w:t>
      </w:r>
    </w:p>
    <w:p w14:paraId="4CBB1421">
      <w:pPr>
        <w:widowControl/>
        <w:spacing w:line="360" w:lineRule="auto"/>
        <w:jc w:val="center"/>
        <w:rPr>
          <w:rFonts w:hint="eastAsia" w:ascii="微软雅黑" w:hAnsi="微软雅黑" w:eastAsia="微软雅黑" w:cs="微软雅黑"/>
          <w:kern w:val="0"/>
          <w:sz w:val="36"/>
          <w:szCs w:val="36"/>
          <w:lang w:bidi="ar"/>
        </w:rPr>
        <w:sectPr>
          <w:pgSz w:w="11906" w:h="16838"/>
          <w:pgMar w:top="1440" w:right="1800" w:bottom="1440" w:left="1800" w:header="851" w:footer="992" w:gutter="0"/>
          <w:cols w:space="425" w:num="1"/>
          <w:docGrid w:type="lines" w:linePitch="312" w:charSpace="0"/>
        </w:sectPr>
      </w:pPr>
      <w:r>
        <w:rPr>
          <w:rFonts w:hint="eastAsia" w:ascii="宋体" w:hAnsi="宋体" w:cs="宋体"/>
          <w:b/>
          <w:bCs/>
          <w:w w:val="95"/>
          <w:sz w:val="32"/>
          <w:szCs w:val="32"/>
        </w:rPr>
        <w:t>2026年</w:t>
      </w:r>
      <w:r>
        <w:rPr>
          <w:rFonts w:hint="eastAsia" w:ascii="宋体" w:hAnsi="宋体" w:cs="宋体"/>
          <w:w w:val="95"/>
          <w:sz w:val="32"/>
          <w:szCs w:val="32"/>
        </w:rPr>
        <w:t>3</w:t>
      </w:r>
      <w:r>
        <w:rPr>
          <w:rFonts w:hint="eastAsia" w:ascii="宋体" w:hAnsi="宋体" w:cs="宋体"/>
          <w:b/>
          <w:bCs/>
          <w:w w:val="95"/>
          <w:sz w:val="32"/>
          <w:szCs w:val="32"/>
        </w:rPr>
        <w:t>月</w:t>
      </w:r>
    </w:p>
    <w:p w14:paraId="2A099A87">
      <w:pPr>
        <w:widowControl/>
        <w:spacing w:line="360" w:lineRule="auto"/>
        <w:jc w:val="distribute"/>
        <w:outlineLvl w:val="0"/>
        <w:rPr>
          <w:rFonts w:hint="eastAsia" w:cs="宋体" w:asciiTheme="majorEastAsia" w:hAnsiTheme="majorEastAsia" w:eastAsiaTheme="majorEastAsia"/>
          <w:b/>
          <w:bCs/>
          <w:kern w:val="0"/>
          <w:sz w:val="32"/>
          <w:szCs w:val="32"/>
          <w:lang w:bidi="ar"/>
        </w:rPr>
      </w:pPr>
      <w:bookmarkStart w:id="0" w:name="_Toc27923"/>
      <w:bookmarkStart w:id="1" w:name="_Toc10161"/>
      <w:bookmarkStart w:id="2" w:name="_Toc220925374"/>
      <w:r>
        <w:rPr>
          <w:rFonts w:hint="eastAsia" w:cs="宋体" w:asciiTheme="majorEastAsia" w:hAnsiTheme="majorEastAsia" w:eastAsiaTheme="majorEastAsia"/>
          <w:b/>
          <w:bCs/>
          <w:kern w:val="0"/>
          <w:sz w:val="32"/>
          <w:szCs w:val="32"/>
          <w:lang w:bidi="ar"/>
        </w:rPr>
        <w:t>第一章 业主码头收费系统数据整理服务自行采购公告</w:t>
      </w:r>
      <w:bookmarkEnd w:id="0"/>
      <w:bookmarkEnd w:id="1"/>
      <w:bookmarkEnd w:id="2"/>
    </w:p>
    <w:p w14:paraId="4D7A0216">
      <w:pPr>
        <w:widowControl/>
        <w:spacing w:line="360" w:lineRule="auto"/>
        <w:jc w:val="center"/>
        <w:rPr>
          <w:rFonts w:hint="eastAsia" w:cs="微软雅黑" w:asciiTheme="minorEastAsia" w:hAnsiTheme="minorEastAsia"/>
          <w:kern w:val="0"/>
          <w:sz w:val="24"/>
          <w:lang w:bidi="ar"/>
        </w:rPr>
      </w:pPr>
    </w:p>
    <w:p w14:paraId="5CAEE60D">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广西壮族自治区</w:t>
      </w:r>
      <w:r>
        <w:rPr>
          <w:rFonts w:hint="eastAsia" w:cs="宋体" w:asciiTheme="minorEastAsia" w:hAnsiTheme="minorEastAsia"/>
          <w:color w:val="000000"/>
          <w:lang w:eastAsia="zh-CN"/>
        </w:rPr>
        <w:t>水运</w:t>
      </w:r>
      <w:r>
        <w:rPr>
          <w:rFonts w:hint="eastAsia" w:cs="宋体" w:asciiTheme="minorEastAsia" w:hAnsiTheme="minorEastAsia"/>
          <w:color w:val="000000"/>
        </w:rPr>
        <w:t>发展中心拟对业主码头收费系统数据整理服务进行采购（不包括北港集团管辖的公共码头收费系统）。现邀请符合条件的供应商参加该项目采购。有关事项如下：</w:t>
      </w:r>
    </w:p>
    <w:p w14:paraId="3CBC5551">
      <w:pPr>
        <w:pStyle w:val="13"/>
        <w:widowControl/>
        <w:numPr>
          <w:ilvl w:val="0"/>
          <w:numId w:val="0"/>
        </w:numPr>
        <w:spacing w:beforeAutospacing="0" w:afterAutospacing="0" w:line="360" w:lineRule="auto"/>
        <w:ind w:left="990" w:hanging="510"/>
        <w:outlineLvl w:val="0"/>
        <w:rPr>
          <w:rFonts w:hint="eastAsia" w:cs="宋体" w:asciiTheme="minorEastAsia" w:hAnsiTheme="minorEastAsia"/>
          <w:color w:val="000000"/>
        </w:rPr>
      </w:pPr>
      <w:bookmarkStart w:id="3" w:name="_Toc24918"/>
      <w:bookmarkStart w:id="4" w:name="_Toc220925375"/>
      <w:r>
        <w:rPr>
          <w:rFonts w:hint="default" w:cs="宋体" w:asciiTheme="minorEastAsia" w:hAnsiTheme="minorEastAsia" w:eastAsiaTheme="minorEastAsia"/>
          <w:b/>
          <w:color w:val="000000"/>
          <w:kern w:val="0"/>
          <w:sz w:val="24"/>
          <w:szCs w:val="24"/>
          <w:lang w:val="en-US" w:eastAsia="zh-CN" w:bidi="ar-SA"/>
        </w:rPr>
        <w:t>一、</w:t>
      </w:r>
      <w:r>
        <w:rPr>
          <w:rFonts w:hint="eastAsia" w:cs="宋体" w:asciiTheme="minorEastAsia" w:hAnsiTheme="minorEastAsia"/>
          <w:b/>
          <w:bCs/>
          <w:color w:val="000000"/>
        </w:rPr>
        <w:t>项目名称</w:t>
      </w:r>
      <w:bookmarkEnd w:id="3"/>
    </w:p>
    <w:p w14:paraId="2021E10A">
      <w:pPr>
        <w:pStyle w:val="13"/>
        <w:widowControl/>
        <w:spacing w:beforeAutospacing="0" w:afterAutospacing="0" w:line="360" w:lineRule="auto"/>
        <w:ind w:left="480"/>
        <w:outlineLvl w:val="0"/>
        <w:rPr>
          <w:rFonts w:hint="eastAsia" w:cs="宋体" w:asciiTheme="minorEastAsia" w:hAnsiTheme="minorEastAsia"/>
          <w:color w:val="000000"/>
        </w:rPr>
      </w:pPr>
      <w:bookmarkStart w:id="5" w:name="_Toc27279"/>
      <w:r>
        <w:rPr>
          <w:rFonts w:hint="eastAsia" w:cs="宋体" w:asciiTheme="minorEastAsia" w:hAnsiTheme="minorEastAsia"/>
          <w:color w:val="000000"/>
        </w:rPr>
        <w:t>业主码头收费系统数据整理服务</w:t>
      </w:r>
      <w:bookmarkEnd w:id="4"/>
      <w:bookmarkEnd w:id="5"/>
      <w:bookmarkStart w:id="6" w:name="_Toc8779"/>
      <w:r>
        <w:rPr>
          <w:rFonts w:hint="eastAsia" w:cs="宋体" w:asciiTheme="minorEastAsia" w:hAnsiTheme="minorEastAsia"/>
          <w:color w:val="000000"/>
        </w:rPr>
        <w:t xml:space="preserve">  </w:t>
      </w:r>
      <w:bookmarkStart w:id="7" w:name="_Toc220925376"/>
    </w:p>
    <w:p w14:paraId="4EC30397">
      <w:pPr>
        <w:pStyle w:val="13"/>
        <w:widowControl/>
        <w:spacing w:beforeAutospacing="0" w:afterAutospacing="0" w:line="360" w:lineRule="auto"/>
        <w:ind w:firstLine="482" w:firstLineChars="200"/>
        <w:outlineLvl w:val="0"/>
        <w:rPr>
          <w:rFonts w:hint="eastAsia" w:cs="宋体" w:asciiTheme="minorEastAsia" w:hAnsiTheme="minorEastAsia"/>
          <w:color w:val="000000"/>
        </w:rPr>
      </w:pPr>
      <w:r>
        <w:rPr>
          <w:rFonts w:hint="eastAsia" w:cs="宋体" w:asciiTheme="minorEastAsia" w:hAnsiTheme="minorEastAsia"/>
          <w:b/>
          <w:bCs/>
          <w:color w:val="000000"/>
        </w:rPr>
        <w:t>二、项目概况</w:t>
      </w:r>
      <w:bookmarkEnd w:id="6"/>
      <w:bookmarkEnd w:id="7"/>
    </w:p>
    <w:p w14:paraId="2A6D9238">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业主码头收费系统各业务板块于2025年1月陆续上线试运行，为规范北部湾港业主码头货物港务费收费业务流程，保障收费工作合法合规开展，需对业主码头收费系统数据进行系统化整理，包括对2025年1月至2026年11月数据的整理，确保各环节数据规范、数据完整、报表完整、流程顺畅，为收费管理工作提供坚实的业务基础支撑。</w:t>
      </w:r>
    </w:p>
    <w:p w14:paraId="488F4A6E">
      <w:pPr>
        <w:pStyle w:val="13"/>
        <w:widowControl/>
        <w:numPr>
          <w:ilvl w:val="0"/>
          <w:numId w:val="0"/>
        </w:numPr>
        <w:spacing w:beforeAutospacing="0" w:afterAutospacing="0" w:line="360" w:lineRule="auto"/>
        <w:ind w:left="990" w:hanging="510"/>
        <w:outlineLvl w:val="0"/>
        <w:rPr>
          <w:rFonts w:hint="eastAsia" w:cs="宋体" w:asciiTheme="minorEastAsia" w:hAnsiTheme="minorEastAsia"/>
          <w:color w:val="000000"/>
        </w:rPr>
      </w:pPr>
      <w:bookmarkStart w:id="8" w:name="_Toc12431"/>
      <w:bookmarkStart w:id="9" w:name="_Toc220925377"/>
      <w:r>
        <w:rPr>
          <w:rFonts w:hint="eastAsia" w:cs="宋体" w:asciiTheme="minorEastAsia" w:hAnsiTheme="minorEastAsia"/>
          <w:b/>
          <w:color w:val="000000"/>
          <w:kern w:val="0"/>
          <w:sz w:val="24"/>
          <w:szCs w:val="24"/>
          <w:lang w:val="en-US" w:eastAsia="zh-CN" w:bidi="ar-SA"/>
        </w:rPr>
        <w:t>三</w:t>
      </w:r>
      <w:r>
        <w:rPr>
          <w:rFonts w:hint="default" w:cs="宋体" w:asciiTheme="minorEastAsia" w:hAnsiTheme="minorEastAsia" w:eastAsiaTheme="minorEastAsia"/>
          <w:b/>
          <w:color w:val="000000"/>
          <w:kern w:val="0"/>
          <w:sz w:val="24"/>
          <w:szCs w:val="24"/>
          <w:lang w:val="en-US" w:eastAsia="zh-CN" w:bidi="ar-SA"/>
        </w:rPr>
        <w:t>、</w:t>
      </w:r>
      <w:r>
        <w:rPr>
          <w:rFonts w:hint="eastAsia" w:cs="宋体" w:asciiTheme="minorEastAsia" w:hAnsiTheme="minorEastAsia"/>
          <w:b/>
          <w:bCs/>
          <w:color w:val="000000"/>
        </w:rPr>
        <w:t>采购金额</w:t>
      </w:r>
      <w:bookmarkEnd w:id="8"/>
    </w:p>
    <w:p w14:paraId="3C2740DE">
      <w:pPr>
        <w:pStyle w:val="13"/>
        <w:widowControl/>
        <w:spacing w:beforeAutospacing="0" w:afterAutospacing="0" w:line="360" w:lineRule="auto"/>
        <w:ind w:left="480"/>
        <w:outlineLvl w:val="0"/>
        <w:rPr>
          <w:rFonts w:hint="eastAsia" w:cs="宋体" w:asciiTheme="minorEastAsia" w:hAnsiTheme="minorEastAsia"/>
          <w:color w:val="000000"/>
        </w:rPr>
      </w:pPr>
      <w:bookmarkStart w:id="10" w:name="_Toc5707"/>
      <w:r>
        <w:rPr>
          <w:rFonts w:hint="eastAsia" w:cs="宋体" w:asciiTheme="minorEastAsia" w:hAnsiTheme="minorEastAsia"/>
          <w:color w:val="000000"/>
        </w:rPr>
        <w:t>人民币壹拾伍万元整（￥150000.00元）</w:t>
      </w:r>
      <w:bookmarkEnd w:id="9"/>
      <w:bookmarkEnd w:id="10"/>
    </w:p>
    <w:p w14:paraId="48F0557F">
      <w:pPr>
        <w:pStyle w:val="13"/>
        <w:widowControl/>
        <w:spacing w:beforeAutospacing="0" w:afterAutospacing="0" w:line="360" w:lineRule="auto"/>
        <w:outlineLvl w:val="0"/>
        <w:rPr>
          <w:rFonts w:hint="eastAsia" w:cs="宋体" w:asciiTheme="minorEastAsia" w:hAnsiTheme="minorEastAsia"/>
          <w:color w:val="000000"/>
        </w:rPr>
      </w:pPr>
      <w:bookmarkStart w:id="11" w:name="_Toc24747"/>
      <w:r>
        <w:rPr>
          <w:rFonts w:hint="eastAsia" w:cs="宋体" w:asciiTheme="minorEastAsia" w:hAnsiTheme="minorEastAsia"/>
          <w:color w:val="000000"/>
        </w:rPr>
        <w:t xml:space="preserve">   </w:t>
      </w:r>
      <w:bookmarkStart w:id="12" w:name="_Toc220925378"/>
      <w:r>
        <w:rPr>
          <w:rFonts w:hint="eastAsia" w:cs="宋体" w:asciiTheme="minorEastAsia" w:hAnsiTheme="minorEastAsia"/>
          <w:b/>
          <w:bCs/>
          <w:color w:val="000000"/>
        </w:rPr>
        <w:t>四、供应商的基本条件</w:t>
      </w:r>
      <w:bookmarkEnd w:id="11"/>
      <w:bookmarkEnd w:id="12"/>
    </w:p>
    <w:p w14:paraId="470CC29A">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（一）国内注册，符合《中华</w:t>
      </w:r>
      <w:r>
        <w:rPr>
          <w:rFonts w:hint="eastAsia" w:cs="宋体" w:asciiTheme="minorEastAsia" w:hAnsiTheme="minorEastAsia"/>
        </w:rPr>
        <w:t>人民共和国政府采购法》第二十二条规定条件。</w:t>
      </w:r>
    </w:p>
    <w:p w14:paraId="4F926323">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（二）截至本项目自行采购公告期结束，未在“信用中国”网站(www.creditchina.gov.cn)等渠道列入失信被执行人、重大税收违法案件当事人名单、政府采购严重违法失信行为记录名单。</w:t>
      </w:r>
    </w:p>
    <w:p w14:paraId="3DF223B6">
      <w:pPr>
        <w:pStyle w:val="13"/>
        <w:widowControl/>
        <w:spacing w:beforeAutospacing="0" w:afterAutospacing="0" w:line="360" w:lineRule="auto"/>
        <w:ind w:firstLine="480" w:firstLineChars="200"/>
        <w:rPr>
          <w:rFonts w:hint="eastAsia" w:cs="宋体" w:asciiTheme="minorEastAsia" w:hAnsiTheme="minorEastAsia"/>
        </w:rPr>
      </w:pPr>
      <w:r>
        <w:rPr>
          <w:rFonts w:hint="eastAsia" w:cs="宋体" w:asciiTheme="minorEastAsia" w:hAnsiTheme="minorEastAsia"/>
        </w:rPr>
        <w:t>（三）单位负责人为同一人或者存在直接控股、管理关系的不同供应商，不得同时参加。</w:t>
      </w:r>
    </w:p>
    <w:p w14:paraId="0D50C979">
      <w:pPr>
        <w:pStyle w:val="13"/>
        <w:widowControl/>
        <w:spacing w:beforeAutospacing="0" w:afterAutospacing="0" w:line="360" w:lineRule="auto"/>
        <w:ind w:firstLine="480" w:firstLineChars="200"/>
        <w:rPr>
          <w:rFonts w:hint="eastAsia" w:cs="宋体" w:asciiTheme="minorEastAsia" w:hAnsiTheme="minorEastAsia"/>
        </w:rPr>
      </w:pPr>
      <w:r>
        <w:rPr>
          <w:rFonts w:hint="eastAsia" w:cs="宋体" w:asciiTheme="minorEastAsia" w:hAnsiTheme="minorEastAsia"/>
        </w:rPr>
        <w:t>（四）本项目不接受联合体报名。</w:t>
      </w:r>
      <w:bookmarkStart w:id="13" w:name="_Toc27508"/>
    </w:p>
    <w:p w14:paraId="6F4DDDF4">
      <w:pPr>
        <w:pStyle w:val="13"/>
        <w:widowControl/>
        <w:spacing w:beforeAutospacing="0" w:afterAutospacing="0"/>
        <w:ind w:firstLine="482" w:firstLineChars="200"/>
        <w:rPr>
          <w:rFonts w:hint="eastAsia" w:cs="宋体" w:asciiTheme="minorEastAsia" w:hAnsiTheme="minorEastAsia"/>
        </w:rPr>
      </w:pPr>
      <w:bookmarkStart w:id="14" w:name="_Toc18240"/>
      <w:bookmarkStart w:id="15" w:name="_Toc220925379"/>
      <w:r>
        <w:rPr>
          <w:rStyle w:val="16"/>
          <w:rFonts w:hint="eastAsia" w:cs="宋体" w:asciiTheme="minorEastAsia" w:hAnsiTheme="minorEastAsia"/>
        </w:rPr>
        <w:t>五、服务内容及要求</w:t>
      </w:r>
      <w:bookmarkEnd w:id="13"/>
      <w:bookmarkEnd w:id="14"/>
      <w:bookmarkEnd w:id="15"/>
    </w:p>
    <w:p w14:paraId="1948BFEC">
      <w:pPr>
        <w:pStyle w:val="13"/>
        <w:widowControl/>
        <w:spacing w:beforeAutospacing="0" w:afterAutospacing="0" w:line="360" w:lineRule="auto"/>
        <w:ind w:firstLine="480" w:firstLineChars="200"/>
        <w:rPr>
          <w:rFonts w:hint="eastAsia" w:cs="宋体" w:asciiTheme="minorEastAsia" w:hAnsiTheme="minorEastAsia"/>
        </w:rPr>
      </w:pPr>
      <w:r>
        <w:rPr>
          <w:rFonts w:hint="eastAsia" w:cs="宋体" w:asciiTheme="minorEastAsia" w:hAnsiTheme="minorEastAsia"/>
        </w:rPr>
        <w:t>服务包括对货物港务费收费全流程业务进行日常梳理、规范优化、风险排查及业务档案整理，通过标准化业务操作，确保收费业务合规性，持续支持北部湾港货物港务费收费管理工作的稳定开展。包括但不限于以下工作内容、要求：</w:t>
      </w:r>
    </w:p>
    <w:p w14:paraId="16F771F7">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（一）对货物港务费收费相关业务</w:t>
      </w:r>
      <w:r>
        <w:rPr>
          <w:rFonts w:hint="eastAsia" w:cs="宋体" w:asciiTheme="minorEastAsia" w:hAnsiTheme="minorEastAsia"/>
        </w:rPr>
        <w:t>流程进</w:t>
      </w:r>
      <w:r>
        <w:rPr>
          <w:rFonts w:hint="eastAsia" w:cs="宋体" w:asciiTheme="minorEastAsia" w:hAnsiTheme="minorEastAsia"/>
          <w:color w:val="000000"/>
        </w:rPr>
        <w:t>行最少一次例行梳理，检查收费标准执行、单据填写、流程衔接是否符合管理规定；</w:t>
      </w:r>
    </w:p>
    <w:p w14:paraId="2DDBD12C">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（二）负责系统日常数据运维，开展数据核查、清洗、整理工作，保障收费数据完整、准确、无冗余，及时处理数据异常问题；</w:t>
      </w:r>
    </w:p>
    <w:p w14:paraId="64F4408D">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（三）针对业务操作中可能存在的风险点和不规范环节（如</w:t>
      </w:r>
      <w:r>
        <w:rPr>
          <w:rFonts w:hint="eastAsia" w:cs="宋体" w:asciiTheme="minorEastAsia" w:hAnsiTheme="minorEastAsia"/>
        </w:rPr>
        <w:t>货物港务费</w:t>
      </w:r>
      <w:r>
        <w:rPr>
          <w:rFonts w:hint="eastAsia" w:cs="宋体" w:asciiTheme="minorEastAsia" w:hAnsiTheme="minorEastAsia"/>
          <w:color w:val="000000"/>
        </w:rPr>
        <w:t>漏收、单据审核疏漏、流程执行偏差等），协助开展</w:t>
      </w:r>
      <w:r>
        <w:rPr>
          <w:rFonts w:hint="eastAsia" w:cs="宋体" w:asciiTheme="minorEastAsia" w:hAnsiTheme="minorEastAsia"/>
        </w:rPr>
        <w:t>货物港务费</w:t>
      </w:r>
      <w:r>
        <w:rPr>
          <w:rFonts w:hint="eastAsia" w:cs="宋体" w:asciiTheme="minorEastAsia" w:hAnsiTheme="minorEastAsia"/>
          <w:color w:val="000000"/>
          <w:lang w:eastAsia="zh-CN"/>
        </w:rPr>
        <w:t>收费</w:t>
      </w:r>
      <w:r>
        <w:rPr>
          <w:rFonts w:hint="eastAsia" w:cs="宋体" w:asciiTheme="minorEastAsia" w:hAnsiTheme="minorEastAsia"/>
          <w:color w:val="000000"/>
        </w:rPr>
        <w:t>业务管理工作，包括台账规范化整理、业务风险排查，提供专业运维支撑；</w:t>
      </w:r>
    </w:p>
    <w:p w14:paraId="095D4A93">
      <w:pPr>
        <w:pStyle w:val="13"/>
        <w:widowControl/>
        <w:spacing w:beforeAutospacing="0" w:afterAutospacing="0" w:line="360" w:lineRule="auto"/>
        <w:ind w:firstLine="480" w:firstLineChars="200"/>
        <w:rPr>
          <w:rFonts w:hint="eastAsia" w:cs="宋体" w:asciiTheme="minorEastAsia" w:hAnsiTheme="minorEastAsia"/>
          <w:color w:val="0000FF"/>
        </w:rPr>
      </w:pPr>
      <w:r>
        <w:rPr>
          <w:rFonts w:hint="eastAsia" w:cs="宋体" w:asciiTheme="minorEastAsia" w:hAnsiTheme="minorEastAsia"/>
          <w:color w:val="000000"/>
        </w:rPr>
        <w:t>（四）协助完成日常</w:t>
      </w:r>
      <w:r>
        <w:rPr>
          <w:rFonts w:hint="eastAsia" w:cs="宋体" w:asciiTheme="minorEastAsia" w:hAnsiTheme="minorEastAsia"/>
        </w:rPr>
        <w:t>货物港务费</w:t>
      </w:r>
      <w:r>
        <w:rPr>
          <w:rFonts w:hint="eastAsia" w:cs="宋体" w:asciiTheme="minorEastAsia" w:hAnsiTheme="minorEastAsia"/>
          <w:color w:val="000000"/>
        </w:rPr>
        <w:t>收入报表、累计完成对比分析表、企业减负情况等多种维度数据统计与分析工作，按业务需求整理收费明细、业务量、异常情况等信息，形成规范的业务报表，满足管理部门对业务数据的查询与分析需求</w:t>
      </w:r>
      <w:r>
        <w:rPr>
          <w:rFonts w:hint="eastAsia" w:cs="宋体" w:asciiTheme="minorEastAsia" w:hAnsiTheme="minorEastAsia"/>
          <w:color w:val="auto"/>
        </w:rPr>
        <w:t>；</w:t>
      </w:r>
    </w:p>
    <w:p w14:paraId="5B02ABB6">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（五）建立常态化运维响应机制，及时响应系统及业务运维需求，保障收费系统稳定运行，提升</w:t>
      </w:r>
      <w:r>
        <w:rPr>
          <w:rFonts w:hint="eastAsia" w:cs="宋体" w:asciiTheme="minorEastAsia" w:hAnsiTheme="minorEastAsia"/>
        </w:rPr>
        <w:t>货物港务费</w:t>
      </w:r>
      <w:r>
        <w:rPr>
          <w:rFonts w:hint="eastAsia" w:cs="宋体" w:asciiTheme="minorEastAsia" w:hAnsiTheme="minorEastAsia"/>
          <w:color w:val="000000"/>
          <w:lang w:eastAsia="zh-CN"/>
        </w:rPr>
        <w:t>收费</w:t>
      </w:r>
      <w:r>
        <w:rPr>
          <w:rFonts w:hint="eastAsia" w:cs="宋体" w:asciiTheme="minorEastAsia" w:hAnsiTheme="minorEastAsia"/>
          <w:color w:val="000000"/>
        </w:rPr>
        <w:t>业务运转效率。</w:t>
      </w:r>
    </w:p>
    <w:p w14:paraId="10825BCF">
      <w:pPr>
        <w:pStyle w:val="13"/>
        <w:widowControl/>
        <w:spacing w:beforeAutospacing="0" w:afterAutospacing="0" w:line="360" w:lineRule="auto"/>
        <w:ind w:firstLine="645"/>
        <w:outlineLvl w:val="0"/>
        <w:rPr>
          <w:rFonts w:hint="eastAsia" w:asciiTheme="minorEastAsia" w:hAnsiTheme="minorEastAsia"/>
        </w:rPr>
      </w:pPr>
      <w:bookmarkStart w:id="16" w:name="_Toc220925380"/>
      <w:bookmarkStart w:id="17" w:name="_Toc4265"/>
      <w:bookmarkStart w:id="18" w:name="_Toc22799"/>
      <w:r>
        <w:rPr>
          <w:rStyle w:val="16"/>
          <w:rFonts w:hint="eastAsia" w:cs="宋体" w:asciiTheme="minorEastAsia" w:hAnsiTheme="minorEastAsia"/>
        </w:rPr>
        <w:t>六、商务要求</w:t>
      </w:r>
      <w:bookmarkEnd w:id="16"/>
      <w:bookmarkEnd w:id="17"/>
      <w:bookmarkEnd w:id="18"/>
    </w:p>
    <w:p w14:paraId="7408BCE2">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一）报价要求：本项目采用总价包干制，包含完成本项目所有工作任务(出具成果文件)所需的一切费用（含但不限于完成项目过程中所需的劳务、材料、设备、仪器、运输、检测与试验、安全警戒、评审、咨询、会务、管理、保险、税费、利润等费用，以及合同明示或暗示的所有责任、义务和一般风险等各种费用在内），供应商应对本项目所有实施内容进行总体报价，采购人不再支付任何费用。</w:t>
      </w:r>
    </w:p>
    <w:p w14:paraId="0E431C25">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（二）合同签订时间：自采购结果公告发出三日后15个工作日内。</w:t>
      </w:r>
    </w:p>
    <w:p w14:paraId="3F9B7C9A">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（三）工期：2026年12月完成项目交付。</w:t>
      </w:r>
    </w:p>
    <w:p w14:paraId="4B07EC86">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（四）付款方式：</w:t>
      </w:r>
    </w:p>
    <w:p w14:paraId="0A099C96">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1.合同签订后15个工作日内，采购人支付合同金额的50%。</w:t>
      </w:r>
    </w:p>
    <w:p w14:paraId="2DC8DA0B">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2.2026年12月按合同要求完成交付，服务期满及验收合格后15个工作日内，采购人支付合同金额的50%。</w:t>
      </w:r>
    </w:p>
    <w:p w14:paraId="0D61B0A4">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成交供应商应向采购人提供合法足额的完税发票，否则采购人有权暂不付款且不视为采购人违约。</w:t>
      </w:r>
    </w:p>
    <w:p w14:paraId="77C2327B">
      <w:pPr>
        <w:pStyle w:val="13"/>
        <w:widowControl/>
        <w:spacing w:beforeAutospacing="0" w:afterAutospacing="0" w:line="360" w:lineRule="auto"/>
        <w:ind w:firstLine="480" w:firstLineChars="200"/>
        <w:rPr>
          <w:rFonts w:hint="eastAsia" w:cs="宋体" w:asciiTheme="minorEastAsia" w:hAnsiTheme="minorEastAsia"/>
        </w:rPr>
      </w:pPr>
      <w:r>
        <w:rPr>
          <w:rFonts w:hint="eastAsia" w:cs="宋体" w:asciiTheme="minorEastAsia" w:hAnsiTheme="minorEastAsia"/>
        </w:rPr>
        <w:t>（五）验收方式:</w:t>
      </w:r>
    </w:p>
    <w:p w14:paraId="70178DA5">
      <w:pPr>
        <w:pStyle w:val="13"/>
        <w:widowControl/>
        <w:spacing w:beforeAutospacing="0" w:afterAutospacing="0" w:line="360" w:lineRule="auto"/>
        <w:ind w:firstLine="480" w:firstLineChars="200"/>
        <w:rPr>
          <w:rFonts w:hint="eastAsia" w:cs="宋体" w:asciiTheme="minorEastAsia" w:hAnsiTheme="minorEastAsia"/>
        </w:rPr>
      </w:pPr>
      <w:r>
        <w:rPr>
          <w:rFonts w:hint="eastAsia" w:cs="宋体" w:asciiTheme="minorEastAsia" w:hAnsiTheme="minorEastAsia"/>
        </w:rPr>
        <w:t>当项目完成全部内容后，由成交供应商向采购人提出验收申请，并同时向采购人提交合同要求的必要验收材料。</w:t>
      </w:r>
    </w:p>
    <w:p w14:paraId="52A1E19C">
      <w:pPr>
        <w:pStyle w:val="13"/>
        <w:widowControl/>
        <w:spacing w:beforeAutospacing="0" w:afterAutospacing="0" w:line="360" w:lineRule="auto"/>
        <w:ind w:firstLine="480" w:firstLineChars="200"/>
        <w:rPr>
          <w:rFonts w:hint="eastAsia" w:cs="宋体" w:asciiTheme="minorEastAsia" w:hAnsiTheme="minorEastAsia"/>
        </w:rPr>
      </w:pPr>
      <w:r>
        <w:rPr>
          <w:rFonts w:hint="eastAsia" w:cs="宋体" w:asciiTheme="minorEastAsia" w:hAnsiTheme="minorEastAsia"/>
        </w:rPr>
        <w:t>采购人应当在成交供应商提交验收申请后15个工作日内进行验收。验收形式为采购人按照内部管理规定组织验收，验收内容为根据成交供应商提供的材料逐项检查是否满足合同要求。</w:t>
      </w:r>
    </w:p>
    <w:p w14:paraId="27590274">
      <w:pPr>
        <w:pStyle w:val="13"/>
        <w:widowControl/>
        <w:numPr>
          <w:ilvl w:val="0"/>
          <w:numId w:val="1"/>
        </w:numPr>
        <w:spacing w:beforeAutospacing="0" w:afterAutospacing="0" w:line="360" w:lineRule="auto"/>
        <w:ind w:firstLine="482" w:firstLineChars="200"/>
        <w:rPr>
          <w:rStyle w:val="16"/>
          <w:rFonts w:hint="eastAsia" w:cs="宋体" w:asciiTheme="minorEastAsia" w:hAnsiTheme="minorEastAsia"/>
          <w:bCs/>
          <w:kern w:val="0"/>
          <w:sz w:val="24"/>
        </w:rPr>
      </w:pPr>
      <w:bookmarkStart w:id="19" w:name="_Toc20201"/>
      <w:bookmarkStart w:id="20" w:name="_Toc220925381"/>
      <w:bookmarkStart w:id="21" w:name="_Toc2944"/>
      <w:r>
        <w:rPr>
          <w:rFonts w:hint="eastAsia" w:cs="宋体" w:asciiTheme="minorEastAsia" w:hAnsiTheme="minorEastAsia"/>
          <w:b/>
          <w:bCs/>
        </w:rPr>
        <w:t>供</w:t>
      </w:r>
      <w:r>
        <w:rPr>
          <w:rStyle w:val="16"/>
          <w:rFonts w:hint="eastAsia" w:cs="宋体" w:asciiTheme="minorEastAsia" w:hAnsiTheme="minorEastAsia"/>
          <w:bCs/>
        </w:rPr>
        <w:t>应商的选择方式</w:t>
      </w:r>
      <w:bookmarkEnd w:id="19"/>
      <w:bookmarkEnd w:id="20"/>
      <w:bookmarkEnd w:id="21"/>
    </w:p>
    <w:p w14:paraId="1CBFDB62">
      <w:pPr>
        <w:pStyle w:val="13"/>
        <w:widowControl/>
        <w:spacing w:beforeAutospacing="0" w:afterAutospacing="0" w:line="360" w:lineRule="auto"/>
        <w:ind w:firstLine="480" w:firstLineChars="200"/>
        <w:rPr>
          <w:rFonts w:hint="eastAsia" w:cs="宋体" w:asciiTheme="minorEastAsia" w:hAnsiTheme="minorEastAsia"/>
        </w:rPr>
      </w:pPr>
      <w:r>
        <w:rPr>
          <w:rFonts w:hint="eastAsia" w:cs="宋体" w:asciiTheme="minorEastAsia" w:hAnsiTheme="minorEastAsia"/>
        </w:rPr>
        <w:t>（一）本中心成立临时合议小组，按照本中心内控制度流程对在规定报名期限内报名并符合资格要求的响应供应商进行比选。根据评分办法，在符合基本条件要求的供应商中，经评审得分最高者为成交供应商。如存在供应商评审最终得分一致的，排名按响应文件报价进行排序，价低者优先；最终得分及报价均一致的，由响应供应商指派代表到场进行抽签决定排序。</w:t>
      </w:r>
    </w:p>
    <w:p w14:paraId="074FFDC5">
      <w:pPr>
        <w:spacing w:line="360" w:lineRule="auto"/>
        <w:ind w:firstLine="480" w:firstLineChars="200"/>
        <w:rPr>
          <w:rFonts w:hint="eastAsia" w:cs="宋体" w:asciiTheme="minorEastAsia" w:hAnsiTheme="minorEastAsia"/>
          <w:kern w:val="0"/>
          <w:sz w:val="24"/>
          <w:lang w:bidi="ar"/>
        </w:rPr>
      </w:pPr>
      <w:r>
        <w:rPr>
          <w:rFonts w:hint="eastAsia" w:cs="宋体" w:asciiTheme="minorEastAsia" w:hAnsiTheme="minorEastAsia"/>
          <w:sz w:val="24"/>
        </w:rPr>
        <w:t>（二</w:t>
      </w:r>
      <w:r>
        <w:rPr>
          <w:rFonts w:hint="eastAsia" w:cs="宋体" w:asciiTheme="minorEastAsia" w:hAnsiTheme="minorEastAsia"/>
          <w:kern w:val="0"/>
          <w:sz w:val="24"/>
          <w:lang w:bidi="ar"/>
        </w:rPr>
        <w:t>）若提交响应文件的供应商不足三家的：</w:t>
      </w:r>
    </w:p>
    <w:p w14:paraId="22C726C4">
      <w:pPr>
        <w:spacing w:line="360" w:lineRule="auto"/>
        <w:ind w:firstLine="480" w:firstLineChars="200"/>
        <w:rPr>
          <w:rFonts w:hint="eastAsia" w:cs="宋体" w:asciiTheme="minorEastAsia" w:hAnsiTheme="minorEastAsia"/>
          <w:kern w:val="0"/>
          <w:sz w:val="24"/>
          <w:lang w:bidi="ar"/>
        </w:rPr>
      </w:pPr>
      <w:r>
        <w:rPr>
          <w:rFonts w:hint="eastAsia" w:cs="宋体" w:asciiTheme="minorEastAsia" w:hAnsiTheme="minorEastAsia"/>
          <w:kern w:val="0"/>
          <w:sz w:val="24"/>
          <w:lang w:bidi="ar"/>
        </w:rPr>
        <w:t>1.延长采购公告时间，延期3个工作日。</w:t>
      </w:r>
    </w:p>
    <w:p w14:paraId="4D26E985">
      <w:pPr>
        <w:spacing w:line="360" w:lineRule="auto"/>
        <w:ind w:firstLine="480" w:firstLineChars="200"/>
        <w:rPr>
          <w:rFonts w:hint="eastAsia" w:cs="宋体" w:asciiTheme="minorEastAsia" w:hAnsiTheme="minorEastAsia"/>
          <w:kern w:val="0"/>
          <w:sz w:val="24"/>
          <w:lang w:bidi="ar"/>
        </w:rPr>
      </w:pPr>
      <w:r>
        <w:rPr>
          <w:rFonts w:hint="eastAsia" w:cs="宋体" w:asciiTheme="minorEastAsia" w:hAnsiTheme="minorEastAsia"/>
          <w:kern w:val="0"/>
          <w:sz w:val="24"/>
          <w:lang w:bidi="ar"/>
        </w:rPr>
        <w:t>2.延期时间截止，响应供应商为2家或2家以上的，按照正常采购流程开展。</w:t>
      </w:r>
    </w:p>
    <w:p w14:paraId="68D9759F">
      <w:pPr>
        <w:spacing w:line="360" w:lineRule="auto"/>
        <w:ind w:firstLine="480" w:firstLineChars="200"/>
        <w:rPr>
          <w:rFonts w:hint="eastAsia" w:cs="宋体" w:asciiTheme="minorEastAsia" w:hAnsiTheme="minorEastAsia"/>
          <w:kern w:val="0"/>
          <w:sz w:val="24"/>
          <w:lang w:bidi="ar"/>
        </w:rPr>
      </w:pPr>
      <w:r>
        <w:rPr>
          <w:rFonts w:hint="eastAsia" w:cs="宋体" w:asciiTheme="minorEastAsia" w:hAnsiTheme="minorEastAsia"/>
          <w:kern w:val="0"/>
          <w:sz w:val="24"/>
          <w:lang w:bidi="ar"/>
        </w:rPr>
        <w:t>3.延期时间截止，响应供应商为1家的，由采购人审核供应商投标文件，确定满足采购方案的条件后，组成谈判小组与供应商谈判。根据采购人内部程序，确定中标人，签订采购合同、支付合同款等。</w:t>
      </w:r>
    </w:p>
    <w:p w14:paraId="79823A96">
      <w:pPr>
        <w:spacing w:line="360" w:lineRule="auto"/>
        <w:ind w:firstLine="480" w:firstLineChars="200"/>
        <w:rPr>
          <w:rFonts w:hint="eastAsia" w:cs="宋体" w:asciiTheme="minorEastAsia" w:hAnsiTheme="minorEastAsia"/>
          <w:kern w:val="0"/>
          <w:sz w:val="24"/>
          <w:lang w:bidi="ar"/>
        </w:rPr>
      </w:pPr>
      <w:r>
        <w:rPr>
          <w:rFonts w:hint="eastAsia" w:cs="宋体" w:asciiTheme="minorEastAsia" w:hAnsiTheme="minorEastAsia"/>
          <w:kern w:val="0"/>
          <w:sz w:val="24"/>
          <w:lang w:bidi="ar"/>
        </w:rPr>
        <w:t>（三）</w:t>
      </w:r>
      <w:r>
        <w:rPr>
          <w:rFonts w:hint="eastAsia" w:cs="宋体" w:asciiTheme="minorEastAsia" w:hAnsiTheme="minorEastAsia"/>
          <w:color w:val="000000"/>
          <w:sz w:val="24"/>
        </w:rPr>
        <w:t>响应文件递交截止后的5个工作日内完成文件开启与评审。</w:t>
      </w:r>
    </w:p>
    <w:p w14:paraId="140E86EE">
      <w:pPr>
        <w:pStyle w:val="13"/>
        <w:widowControl/>
        <w:spacing w:beforeAutospacing="0" w:afterAutospacing="0" w:line="360" w:lineRule="auto"/>
        <w:ind w:firstLine="482" w:firstLineChars="200"/>
        <w:outlineLvl w:val="0"/>
        <w:rPr>
          <w:rFonts w:hint="eastAsia" w:cs="宋体" w:asciiTheme="minorEastAsia" w:hAnsiTheme="minorEastAsia"/>
          <w:b/>
        </w:rPr>
      </w:pPr>
      <w:bookmarkStart w:id="22" w:name="_Toc14268"/>
      <w:bookmarkStart w:id="23" w:name="_Toc220925382"/>
      <w:r>
        <w:rPr>
          <w:rFonts w:hint="eastAsia" w:cs="宋体" w:asciiTheme="minorEastAsia" w:hAnsiTheme="minorEastAsia"/>
          <w:b/>
        </w:rPr>
        <w:t>八、评分办法</w:t>
      </w:r>
      <w:bookmarkEnd w:id="22"/>
      <w:bookmarkEnd w:id="23"/>
    </w:p>
    <w:p w14:paraId="0C5B0473">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根据采购方案及采购公告，临时合议小组对报名供应商的响应文件进行评审，依照本办法拟定成交供应商，在符合基本条件要求的供应商中，经评审得分最高者为成交供应商。如存在供应商评审最终得分一致的，排名按响应文件报价进行排序，价低者优先；最终得分及报价均一致的，由响应供应商指派代表到场进行抽签决定排序。</w:t>
      </w:r>
    </w:p>
    <w:p w14:paraId="1AC654CB">
      <w:pPr>
        <w:pStyle w:val="13"/>
        <w:widowControl/>
        <w:spacing w:beforeAutospacing="0" w:afterAutospacing="0" w:line="360" w:lineRule="auto"/>
        <w:ind w:firstLine="564" w:firstLineChars="235"/>
        <w:outlineLvl w:val="1"/>
        <w:rPr>
          <w:rFonts w:hint="eastAsia" w:asciiTheme="minorEastAsia" w:hAnsiTheme="minorEastAsia"/>
        </w:rPr>
      </w:pPr>
      <w:bookmarkStart w:id="24" w:name="_Toc26570"/>
      <w:bookmarkStart w:id="25" w:name="_Toc220924056"/>
      <w:bookmarkStart w:id="26" w:name="_Toc220925383"/>
      <w:bookmarkStart w:id="27" w:name="_Toc220924374"/>
      <w:bookmarkStart w:id="28" w:name="_Toc220925009"/>
      <w:bookmarkStart w:id="29" w:name="_Toc220923868"/>
      <w:bookmarkStart w:id="30" w:name="_Toc31121"/>
      <w:r>
        <w:rPr>
          <w:rFonts w:hint="eastAsia" w:cs="宋体" w:asciiTheme="minorEastAsia" w:hAnsiTheme="minorEastAsia"/>
        </w:rPr>
        <w:t>（一）价格分（满分20分）</w:t>
      </w:r>
      <w:bookmarkEnd w:id="24"/>
      <w:bookmarkEnd w:id="25"/>
      <w:bookmarkEnd w:id="26"/>
      <w:bookmarkEnd w:id="27"/>
      <w:bookmarkEnd w:id="28"/>
      <w:bookmarkEnd w:id="29"/>
      <w:bookmarkEnd w:id="30"/>
    </w:p>
    <w:p w14:paraId="45AFBF3F">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以投标人的有效报价的算术平均值为基准价。报价与基准价的差取绝对值。有效报价为：投标人的报价未超过最高控制价，且投标人符合参与条件要求。</w:t>
      </w:r>
    </w:p>
    <w:p w14:paraId="0248A304">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偏差率=100%×∣（报价-基准价）∣/基准价。</w:t>
      </w:r>
    </w:p>
    <w:p w14:paraId="37A27CBD">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若投标人报价&gt;评标基准价，则得分=</w:t>
      </w:r>
      <w:r>
        <w:rPr>
          <w:rFonts w:cs="宋体" w:asciiTheme="minorEastAsia" w:hAnsiTheme="minorEastAsia"/>
        </w:rPr>
        <w:t>20</w:t>
      </w:r>
      <w:r>
        <w:rPr>
          <w:rFonts w:hint="eastAsia" w:cs="宋体" w:asciiTheme="minorEastAsia" w:hAnsiTheme="minorEastAsia"/>
        </w:rPr>
        <w:t>-偏差率×100×0.2；</w:t>
      </w:r>
    </w:p>
    <w:p w14:paraId="6F981F8C">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rPr>
        <w:t>若投标人报价≤评标基准价，则得分=</w:t>
      </w:r>
      <w:r>
        <w:rPr>
          <w:rFonts w:cs="宋体" w:asciiTheme="minorEastAsia" w:hAnsiTheme="minorEastAsia"/>
        </w:rPr>
        <w:t>20</w:t>
      </w:r>
      <w:r>
        <w:rPr>
          <w:rFonts w:hint="eastAsia" w:cs="宋体" w:asciiTheme="minorEastAsia" w:hAnsiTheme="minorEastAsia"/>
        </w:rPr>
        <w:t>-偏差率×100×0.1。　</w:t>
      </w:r>
    </w:p>
    <w:p w14:paraId="39FF3A3E">
      <w:pPr>
        <w:pStyle w:val="13"/>
        <w:widowControl/>
        <w:spacing w:beforeAutospacing="0" w:afterAutospacing="0" w:line="360" w:lineRule="auto"/>
        <w:ind w:firstLine="480" w:firstLineChars="200"/>
        <w:outlineLvl w:val="1"/>
        <w:rPr>
          <w:rFonts w:hint="eastAsia" w:cs="宋体" w:asciiTheme="minorEastAsia" w:hAnsiTheme="minorEastAsia"/>
          <w:highlight w:val="none"/>
        </w:rPr>
      </w:pPr>
      <w:bookmarkStart w:id="31" w:name="_Toc220924057"/>
      <w:bookmarkStart w:id="32" w:name="_Toc27859"/>
      <w:bookmarkStart w:id="33" w:name="_Toc220925010"/>
      <w:bookmarkStart w:id="34" w:name="_Toc220924375"/>
      <w:bookmarkStart w:id="35" w:name="_Toc220923869"/>
      <w:bookmarkStart w:id="36" w:name="_Toc2028"/>
      <w:bookmarkStart w:id="37" w:name="_Toc220925384"/>
      <w:r>
        <w:rPr>
          <w:rFonts w:hint="eastAsia" w:cs="宋体" w:asciiTheme="minorEastAsia" w:hAnsiTheme="minorEastAsia"/>
          <w:highlight w:val="none"/>
        </w:rPr>
        <w:t>（二）技术分（满分40分）</w:t>
      </w:r>
      <w:bookmarkEnd w:id="31"/>
      <w:bookmarkEnd w:id="32"/>
      <w:bookmarkEnd w:id="33"/>
      <w:bookmarkEnd w:id="34"/>
      <w:bookmarkEnd w:id="35"/>
      <w:bookmarkEnd w:id="36"/>
      <w:bookmarkEnd w:id="37"/>
    </w:p>
    <w:p w14:paraId="0F6A2415">
      <w:pPr>
        <w:pStyle w:val="13"/>
        <w:widowControl/>
        <w:spacing w:beforeAutospacing="0" w:afterAutospacing="0" w:line="360" w:lineRule="auto"/>
        <w:ind w:firstLine="480" w:firstLineChars="200"/>
        <w:outlineLvl w:val="2"/>
        <w:rPr>
          <w:rFonts w:hint="eastAsia" w:cs="宋体" w:asciiTheme="minorEastAsia" w:hAnsiTheme="minorEastAsia"/>
          <w:highlight w:val="none"/>
        </w:rPr>
      </w:pPr>
      <w:bookmarkStart w:id="38" w:name="_Toc220923870"/>
      <w:bookmarkStart w:id="39" w:name="_Toc220924058"/>
      <w:bookmarkStart w:id="40" w:name="_Toc220925385"/>
      <w:bookmarkStart w:id="41" w:name="_Toc220924376"/>
      <w:bookmarkStart w:id="42" w:name="_Toc220925011"/>
      <w:bookmarkStart w:id="43" w:name="_Toc30264"/>
      <w:bookmarkStart w:id="44" w:name="_Toc8121"/>
      <w:r>
        <w:rPr>
          <w:rFonts w:hint="eastAsia" w:cs="宋体" w:asciiTheme="minorEastAsia" w:hAnsiTheme="minorEastAsia"/>
          <w:highlight w:val="none"/>
        </w:rPr>
        <w:t>1.设计方案分（满分20分）</w:t>
      </w:r>
      <w:bookmarkEnd w:id="38"/>
      <w:bookmarkEnd w:id="39"/>
      <w:bookmarkEnd w:id="40"/>
      <w:bookmarkEnd w:id="41"/>
      <w:bookmarkEnd w:id="42"/>
      <w:bookmarkEnd w:id="43"/>
      <w:bookmarkEnd w:id="44"/>
    </w:p>
    <w:p w14:paraId="75F6FF02">
      <w:pPr>
        <w:pStyle w:val="13"/>
        <w:widowControl/>
        <w:spacing w:beforeAutospacing="0" w:afterAutospacing="0" w:line="360" w:lineRule="auto"/>
        <w:rPr>
          <w:rFonts w:hint="eastAsia" w:cs="宋体" w:asciiTheme="minorEastAsia" w:hAnsiTheme="minorEastAsia"/>
          <w:highlight w:val="none"/>
        </w:rPr>
      </w:pPr>
      <w:r>
        <w:rPr>
          <w:rFonts w:hint="eastAsia" w:cs="宋体" w:asciiTheme="minorEastAsia" w:hAnsiTheme="minorEastAsia"/>
          <w:highlight w:val="none"/>
        </w:rPr>
        <w:t>由评审小组在打分前根据各供应商提供具体的运维服务方案确定各供应商所属档次及分值。</w:t>
      </w:r>
    </w:p>
    <w:p w14:paraId="1FA1F793">
      <w:pPr>
        <w:pStyle w:val="13"/>
        <w:widowControl/>
        <w:spacing w:beforeAutospacing="0" w:afterAutospacing="0" w:line="360" w:lineRule="auto"/>
        <w:ind w:firstLine="480" w:firstLineChars="200"/>
        <w:rPr>
          <w:rFonts w:hint="eastAsia" w:cs="宋体" w:asciiTheme="minorEastAsia" w:hAnsiTheme="minorEastAsia"/>
          <w:highlight w:val="none"/>
        </w:rPr>
      </w:pPr>
      <w:r>
        <w:rPr>
          <w:rFonts w:hint="eastAsia" w:cs="宋体" w:asciiTheme="minorEastAsia" w:hAnsiTheme="minorEastAsia"/>
          <w:highlight w:val="none"/>
        </w:rPr>
        <w:t>一档（1-10分）：对项目需求的理解不够准确、实施准备工作考虑不周全、服务质量保障措施简单，整体方案较简单、可操作性一般。</w:t>
      </w:r>
    </w:p>
    <w:p w14:paraId="23A38205">
      <w:pPr>
        <w:pStyle w:val="13"/>
        <w:widowControl/>
        <w:spacing w:beforeAutospacing="0" w:afterAutospacing="0" w:line="360" w:lineRule="auto"/>
        <w:ind w:firstLine="480" w:firstLineChars="200"/>
        <w:rPr>
          <w:rFonts w:hint="eastAsia" w:cs="宋体" w:asciiTheme="minorEastAsia" w:hAnsiTheme="minorEastAsia"/>
          <w:highlight w:val="none"/>
        </w:rPr>
      </w:pPr>
      <w:r>
        <w:rPr>
          <w:rFonts w:hint="eastAsia" w:cs="宋体" w:asciiTheme="minorEastAsia" w:hAnsiTheme="minorEastAsia"/>
          <w:highlight w:val="none"/>
        </w:rPr>
        <w:t>二档（11-15分）：对项目需求的理解比较准确、实施准备工作考虑完整周全、服务质量保障措施比较全面，整体方案较比较完整、具备可操作性。</w:t>
      </w:r>
    </w:p>
    <w:p w14:paraId="52BFB575">
      <w:pPr>
        <w:pStyle w:val="13"/>
        <w:widowControl/>
        <w:spacing w:beforeAutospacing="0" w:afterAutospacing="0" w:line="360" w:lineRule="auto"/>
        <w:ind w:firstLine="480" w:firstLineChars="200"/>
        <w:rPr>
          <w:rFonts w:hint="eastAsia" w:cs="宋体" w:asciiTheme="minorEastAsia" w:hAnsiTheme="minorEastAsia"/>
          <w:highlight w:val="none"/>
        </w:rPr>
      </w:pPr>
      <w:r>
        <w:rPr>
          <w:rFonts w:hint="eastAsia" w:cs="宋体" w:asciiTheme="minorEastAsia" w:hAnsiTheme="minorEastAsia"/>
          <w:highlight w:val="none"/>
        </w:rPr>
        <w:t>三档（16-20分）：对项目需求的理解准确、实施准备工作考虑周全、服务质量保障措施内容详细完整可行，整体方案详细完整、科学合理、有针对性。</w:t>
      </w:r>
    </w:p>
    <w:p w14:paraId="1FA139D3">
      <w:pPr>
        <w:pStyle w:val="13"/>
        <w:widowControl/>
        <w:spacing w:beforeAutospacing="0" w:afterAutospacing="0" w:line="360" w:lineRule="auto"/>
        <w:ind w:firstLine="480" w:firstLineChars="200"/>
        <w:outlineLvl w:val="2"/>
        <w:rPr>
          <w:rFonts w:hint="eastAsia" w:cs="宋体" w:asciiTheme="minorEastAsia" w:hAnsiTheme="minorEastAsia"/>
          <w:highlight w:val="none"/>
        </w:rPr>
      </w:pPr>
      <w:bookmarkStart w:id="45" w:name="_Toc220925013"/>
      <w:bookmarkStart w:id="46" w:name="_Toc12511"/>
      <w:bookmarkStart w:id="47" w:name="_Toc31792"/>
      <w:bookmarkStart w:id="48" w:name="_Toc220923872"/>
      <w:bookmarkStart w:id="49" w:name="_Toc220925387"/>
      <w:bookmarkStart w:id="50" w:name="_Toc220924378"/>
      <w:bookmarkStart w:id="51" w:name="_Toc220924060"/>
      <w:r>
        <w:rPr>
          <w:rFonts w:hint="eastAsia" w:cs="宋体" w:asciiTheme="minorEastAsia" w:hAnsiTheme="minorEastAsia"/>
          <w:highlight w:val="none"/>
        </w:rPr>
        <w:t>2.项目服务保障方案分（满分20分）</w:t>
      </w:r>
      <w:bookmarkEnd w:id="45"/>
      <w:bookmarkEnd w:id="46"/>
      <w:bookmarkEnd w:id="47"/>
      <w:bookmarkEnd w:id="48"/>
      <w:bookmarkEnd w:id="49"/>
      <w:bookmarkEnd w:id="50"/>
      <w:bookmarkEnd w:id="51"/>
    </w:p>
    <w:p w14:paraId="073411D9">
      <w:pPr>
        <w:pStyle w:val="13"/>
        <w:widowControl/>
        <w:spacing w:beforeAutospacing="0" w:afterAutospacing="0" w:line="360" w:lineRule="auto"/>
        <w:rPr>
          <w:rFonts w:hint="eastAsia" w:cs="宋体" w:asciiTheme="minorEastAsia" w:hAnsiTheme="minorEastAsia"/>
          <w:highlight w:val="none"/>
        </w:rPr>
      </w:pPr>
      <w:r>
        <w:rPr>
          <w:rFonts w:hint="eastAsia" w:cs="宋体" w:asciiTheme="minorEastAsia" w:hAnsiTheme="minorEastAsia"/>
          <w:highlight w:val="none"/>
        </w:rPr>
        <w:t>由评审小组根据供应商的项目服务保障方案分独立评分，主要包含以下评审因素：②服务响应时间，②到达故障现场时间，③解决故障时间。</w:t>
      </w:r>
    </w:p>
    <w:p w14:paraId="739D5C2A">
      <w:pPr>
        <w:pStyle w:val="13"/>
        <w:widowControl/>
        <w:spacing w:beforeAutospacing="0" w:afterAutospacing="0" w:line="360" w:lineRule="auto"/>
        <w:ind w:firstLine="480" w:firstLineChars="200"/>
        <w:rPr>
          <w:rFonts w:hint="eastAsia" w:cs="宋体" w:asciiTheme="minorEastAsia" w:hAnsiTheme="minorEastAsia"/>
          <w:highlight w:val="none"/>
        </w:rPr>
      </w:pPr>
      <w:r>
        <w:rPr>
          <w:rFonts w:hint="eastAsia" w:cs="宋体" w:asciiTheme="minorEastAsia" w:hAnsiTheme="minorEastAsia"/>
          <w:highlight w:val="none"/>
        </w:rPr>
        <w:t>一档（10分）：三项项评审因素内容齐全，表述清晰且符合项目要求，得5分。做到90分钟内响应，4小时内组织维修维护，24小时内解决问题，得5分。满分10分。</w:t>
      </w:r>
    </w:p>
    <w:p w14:paraId="76E5A925">
      <w:pPr>
        <w:pStyle w:val="13"/>
        <w:widowControl/>
        <w:spacing w:beforeAutospacing="0" w:afterAutospacing="0" w:line="360" w:lineRule="auto"/>
        <w:ind w:firstLine="480" w:firstLineChars="200"/>
        <w:rPr>
          <w:rFonts w:hint="eastAsia" w:cs="宋体" w:asciiTheme="minorEastAsia" w:hAnsiTheme="minorEastAsia"/>
          <w:highlight w:val="none"/>
        </w:rPr>
      </w:pPr>
      <w:r>
        <w:rPr>
          <w:rFonts w:hint="eastAsia" w:cs="宋体" w:asciiTheme="minorEastAsia" w:hAnsiTheme="minorEastAsia"/>
          <w:highlight w:val="none"/>
        </w:rPr>
        <w:t>二档（15分）：三项评审因素内容齐全，表述清晰且符合项目要求，得5分。做到60分钟内响应，3小时内组织维修维护，12小时内解决问题，得10分。满分15分。</w:t>
      </w:r>
    </w:p>
    <w:p w14:paraId="6396F43D">
      <w:pPr>
        <w:pStyle w:val="13"/>
        <w:widowControl/>
        <w:spacing w:beforeAutospacing="0" w:afterAutospacing="0" w:line="360" w:lineRule="auto"/>
        <w:ind w:firstLine="480" w:firstLineChars="200"/>
        <w:rPr>
          <w:rFonts w:hint="eastAsia" w:cs="宋体" w:asciiTheme="minorEastAsia" w:hAnsiTheme="minorEastAsia"/>
          <w:highlight w:val="none"/>
        </w:rPr>
      </w:pPr>
      <w:r>
        <w:rPr>
          <w:rFonts w:hint="eastAsia" w:cs="宋体" w:asciiTheme="minorEastAsia" w:hAnsiTheme="minorEastAsia"/>
          <w:highlight w:val="none"/>
        </w:rPr>
        <w:t>三档（20分）：三项评审因素内容齐全，表述清晰且符合项目要求，得5分。做到30分钟内响应，2小时内组织维修维护，8小时内解决问题，得15分。满分20分。</w:t>
      </w:r>
    </w:p>
    <w:p w14:paraId="3124B57B">
      <w:pPr>
        <w:pStyle w:val="13"/>
        <w:widowControl/>
        <w:spacing w:beforeAutospacing="0" w:afterAutospacing="0" w:line="360" w:lineRule="auto"/>
        <w:ind w:firstLine="480" w:firstLineChars="200"/>
        <w:outlineLvl w:val="1"/>
        <w:rPr>
          <w:rFonts w:hint="eastAsia" w:cs="宋体" w:asciiTheme="minorEastAsia" w:hAnsiTheme="minorEastAsia"/>
          <w:highlight w:val="none"/>
        </w:rPr>
      </w:pPr>
      <w:bookmarkStart w:id="52" w:name="_Toc220924061"/>
      <w:bookmarkStart w:id="53" w:name="_Toc16248"/>
      <w:bookmarkStart w:id="54" w:name="_Toc220925388"/>
      <w:bookmarkStart w:id="55" w:name="_Toc220923873"/>
      <w:bookmarkStart w:id="56" w:name="_Toc220924379"/>
      <w:bookmarkStart w:id="57" w:name="_Toc30146"/>
      <w:bookmarkStart w:id="58" w:name="_Toc220925014"/>
      <w:r>
        <w:rPr>
          <w:rFonts w:hint="eastAsia" w:cs="宋体" w:asciiTheme="minorEastAsia" w:hAnsiTheme="minorEastAsia"/>
          <w:highlight w:val="none"/>
        </w:rPr>
        <w:t>（三） 商务分（满分40分）</w:t>
      </w:r>
      <w:bookmarkEnd w:id="52"/>
      <w:bookmarkEnd w:id="53"/>
      <w:bookmarkEnd w:id="54"/>
      <w:bookmarkEnd w:id="55"/>
      <w:bookmarkEnd w:id="56"/>
      <w:bookmarkEnd w:id="57"/>
      <w:bookmarkEnd w:id="58"/>
    </w:p>
    <w:p w14:paraId="68530A0C">
      <w:pPr>
        <w:pStyle w:val="13"/>
        <w:widowControl/>
        <w:spacing w:beforeAutospacing="0" w:afterAutospacing="0" w:line="360" w:lineRule="auto"/>
        <w:ind w:firstLine="480" w:firstLineChars="200"/>
        <w:outlineLvl w:val="2"/>
        <w:rPr>
          <w:rFonts w:hint="eastAsia" w:cs="宋体" w:asciiTheme="minorEastAsia" w:hAnsiTheme="minorEastAsia"/>
          <w:color w:val="000000"/>
          <w:highlight w:val="none"/>
        </w:rPr>
      </w:pPr>
      <w:bookmarkStart w:id="59" w:name="_Toc220925015"/>
      <w:bookmarkStart w:id="60" w:name="_Toc19564"/>
      <w:bookmarkStart w:id="61" w:name="_Toc220925389"/>
      <w:bookmarkStart w:id="62" w:name="_Toc220923874"/>
      <w:bookmarkStart w:id="63" w:name="_Toc220924062"/>
      <w:bookmarkStart w:id="64" w:name="_Toc220924380"/>
      <w:bookmarkStart w:id="65" w:name="_Toc20700"/>
      <w:r>
        <w:rPr>
          <w:rFonts w:hint="eastAsia" w:cs="宋体" w:asciiTheme="minorEastAsia" w:hAnsiTheme="minorEastAsia"/>
          <w:color w:val="000000"/>
          <w:highlight w:val="none"/>
        </w:rPr>
        <w:t>1.服务团队资质分（满分15分）</w:t>
      </w:r>
      <w:bookmarkEnd w:id="59"/>
      <w:bookmarkEnd w:id="60"/>
      <w:bookmarkEnd w:id="61"/>
      <w:bookmarkEnd w:id="62"/>
      <w:bookmarkEnd w:id="63"/>
      <w:bookmarkEnd w:id="64"/>
      <w:bookmarkEnd w:id="65"/>
    </w:p>
    <w:p w14:paraId="54B54A72">
      <w:pPr>
        <w:pStyle w:val="13"/>
        <w:widowControl/>
        <w:spacing w:beforeAutospacing="0" w:afterAutospacing="0" w:line="360" w:lineRule="auto"/>
        <w:ind w:firstLine="480" w:firstLineChars="200"/>
        <w:rPr>
          <w:rFonts w:hint="eastAsia" w:cs="宋体" w:asciiTheme="minorEastAsia" w:hAnsiTheme="minorEastAsia"/>
          <w:color w:val="000000"/>
          <w:highlight w:val="none"/>
        </w:rPr>
      </w:pPr>
      <w:r>
        <w:rPr>
          <w:rFonts w:hint="eastAsia" w:cs="宋体" w:asciiTheme="minorEastAsia" w:hAnsiTheme="minorEastAsia"/>
          <w:color w:val="000000"/>
          <w:highlight w:val="none"/>
        </w:rPr>
        <w:t>由评审小组根据供应商提供的项目团队投入人员数量、中高级职称或项目管理师中高级证书确定各供应商所属档次及分值。</w:t>
      </w:r>
    </w:p>
    <w:p w14:paraId="49F5DA52">
      <w:pPr>
        <w:pStyle w:val="13"/>
        <w:widowControl/>
        <w:spacing w:beforeAutospacing="0" w:afterAutospacing="0" w:line="360" w:lineRule="auto"/>
        <w:ind w:firstLine="480" w:firstLineChars="200"/>
        <w:rPr>
          <w:rFonts w:hint="eastAsia" w:cs="宋体" w:asciiTheme="minorEastAsia" w:hAnsiTheme="minorEastAsia"/>
          <w:color w:val="000000"/>
          <w:highlight w:val="none"/>
        </w:rPr>
      </w:pPr>
      <w:r>
        <w:rPr>
          <w:rFonts w:hint="eastAsia" w:cs="宋体" w:asciiTheme="minorEastAsia" w:hAnsiTheme="minorEastAsia"/>
          <w:color w:val="000000"/>
          <w:highlight w:val="none"/>
        </w:rPr>
        <w:t>一档（8分）：投入2名以上人员（1人2分，人员分满分6分）；投入人员获得相关职业证书每人1人加1分，满分2分。总满分8分。</w:t>
      </w:r>
    </w:p>
    <w:p w14:paraId="77C54CA2">
      <w:pPr>
        <w:pStyle w:val="13"/>
        <w:widowControl/>
        <w:spacing w:beforeAutospacing="0" w:afterAutospacing="0" w:line="360" w:lineRule="auto"/>
        <w:ind w:firstLine="480" w:firstLineChars="200"/>
        <w:rPr>
          <w:rFonts w:hint="eastAsia" w:cs="宋体" w:asciiTheme="minorEastAsia" w:hAnsiTheme="minorEastAsia"/>
          <w:color w:val="000000"/>
          <w:highlight w:val="none"/>
        </w:rPr>
      </w:pPr>
      <w:r>
        <w:rPr>
          <w:rFonts w:hint="eastAsia" w:cs="宋体" w:asciiTheme="minorEastAsia" w:hAnsiTheme="minorEastAsia"/>
          <w:color w:val="000000"/>
          <w:highlight w:val="none"/>
        </w:rPr>
        <w:t>二档（10分）：投入2名以上人员，其中1人以上具备(中级)职称或(中级)项目管理师证书得5分，另一人获得相关职业证书得5分（若无人员或无证书、职称0分），总满分10分。</w:t>
      </w:r>
    </w:p>
    <w:p w14:paraId="6719E2AD">
      <w:pPr>
        <w:pStyle w:val="13"/>
        <w:widowControl/>
        <w:spacing w:beforeAutospacing="0" w:afterAutospacing="0" w:line="360" w:lineRule="auto"/>
        <w:ind w:firstLine="480" w:firstLineChars="200"/>
        <w:rPr>
          <w:rFonts w:hint="eastAsia" w:cs="宋体" w:asciiTheme="minorEastAsia" w:hAnsiTheme="minorEastAsia"/>
          <w:color w:val="000000"/>
          <w:highlight w:val="none"/>
        </w:rPr>
      </w:pPr>
      <w:r>
        <w:rPr>
          <w:rFonts w:hint="eastAsia" w:cs="宋体" w:asciiTheme="minorEastAsia" w:hAnsiTheme="minorEastAsia"/>
          <w:color w:val="000000"/>
          <w:highlight w:val="none"/>
        </w:rPr>
        <w:t>三档（15分）：投入2名以上人员，其中1人以上具备(高级)职称或(高级)项目管理师证书得10分，另一人获得相关职业证书得5分（若无人员或无证书、职称0分），总满分15分。</w:t>
      </w:r>
    </w:p>
    <w:p w14:paraId="671A028D">
      <w:pPr>
        <w:pStyle w:val="13"/>
        <w:widowControl/>
        <w:spacing w:beforeAutospacing="0" w:afterAutospacing="0" w:line="360" w:lineRule="auto"/>
        <w:ind w:firstLine="480" w:firstLineChars="200"/>
        <w:outlineLvl w:val="2"/>
        <w:rPr>
          <w:rFonts w:hint="eastAsia" w:cs="宋体" w:asciiTheme="minorEastAsia" w:hAnsiTheme="minorEastAsia"/>
          <w:color w:val="000000"/>
          <w:highlight w:val="none"/>
        </w:rPr>
      </w:pPr>
      <w:bookmarkStart w:id="66" w:name="_Toc18958"/>
      <w:bookmarkStart w:id="67" w:name="_Toc220925390"/>
      <w:bookmarkStart w:id="68" w:name="_Toc7490"/>
      <w:bookmarkStart w:id="69" w:name="_Toc220923875"/>
      <w:bookmarkStart w:id="70" w:name="_Toc220925016"/>
      <w:bookmarkStart w:id="71" w:name="_Toc220924381"/>
      <w:bookmarkStart w:id="72" w:name="_Toc220924063"/>
      <w:r>
        <w:rPr>
          <w:rFonts w:hint="eastAsia" w:cs="宋体" w:asciiTheme="minorEastAsia" w:hAnsiTheme="minorEastAsia"/>
          <w:color w:val="000000"/>
          <w:highlight w:val="none"/>
        </w:rPr>
        <w:t>2.企业信誉及业绩分（满分25分）</w:t>
      </w:r>
      <w:bookmarkEnd w:id="66"/>
      <w:bookmarkEnd w:id="67"/>
      <w:bookmarkEnd w:id="68"/>
      <w:bookmarkEnd w:id="69"/>
      <w:bookmarkEnd w:id="70"/>
      <w:bookmarkEnd w:id="71"/>
      <w:bookmarkEnd w:id="72"/>
    </w:p>
    <w:p w14:paraId="6BE0D727">
      <w:pPr>
        <w:pStyle w:val="13"/>
        <w:widowControl/>
        <w:spacing w:beforeAutospacing="0" w:afterAutospacing="0" w:line="360" w:lineRule="auto"/>
        <w:ind w:firstLine="480" w:firstLineChars="200"/>
        <w:rPr>
          <w:rFonts w:hint="eastAsia" w:cs="宋体" w:asciiTheme="minorEastAsia" w:hAnsiTheme="minorEastAsia"/>
          <w:color w:val="000000"/>
          <w:highlight w:val="none"/>
        </w:rPr>
      </w:pPr>
      <w:r>
        <w:rPr>
          <w:rFonts w:hint="eastAsia" w:cs="宋体" w:asciiTheme="minorEastAsia" w:hAnsiTheme="minorEastAsia"/>
          <w:color w:val="000000"/>
          <w:highlight w:val="none"/>
        </w:rPr>
        <w:t>（1）供应商具有有效的质量管理体系认证证书、科技型企业证书、高新证书，每个得3分，满分9分（提供相关证明文件复印件并加盖供应商公章）；</w:t>
      </w:r>
    </w:p>
    <w:p w14:paraId="2BAADDA5">
      <w:pPr>
        <w:pStyle w:val="13"/>
        <w:widowControl/>
        <w:spacing w:beforeAutospacing="0" w:afterAutospacing="0" w:line="360" w:lineRule="auto"/>
        <w:ind w:firstLine="480" w:firstLineChars="200"/>
        <w:rPr>
          <w:rFonts w:hint="eastAsia" w:cs="宋体" w:asciiTheme="minorEastAsia" w:hAnsiTheme="minorEastAsia"/>
          <w:color w:val="000000"/>
          <w:highlight w:val="none"/>
        </w:rPr>
      </w:pPr>
      <w:r>
        <w:rPr>
          <w:rFonts w:hint="eastAsia" w:cs="宋体" w:asciiTheme="minorEastAsia" w:hAnsiTheme="minorEastAsia"/>
          <w:color w:val="000000"/>
          <w:highlight w:val="none"/>
        </w:rPr>
        <w:t>（2）供应商自2023年1月1日以来，承接港口信息化系统相关项目的，每个得4分，满分</w:t>
      </w:r>
      <w:r>
        <w:rPr>
          <w:rFonts w:cs="宋体" w:asciiTheme="minorEastAsia" w:hAnsiTheme="minorEastAsia"/>
          <w:color w:val="000000"/>
          <w:highlight w:val="none"/>
        </w:rPr>
        <w:t>16</w:t>
      </w:r>
      <w:r>
        <w:rPr>
          <w:rFonts w:hint="eastAsia" w:cs="宋体" w:asciiTheme="minorEastAsia" w:hAnsiTheme="minorEastAsia"/>
          <w:color w:val="000000"/>
          <w:highlight w:val="none"/>
        </w:rPr>
        <w:t>分。（提供合同或中标（成交）通知书复印件并加盖供应商公章）。</w:t>
      </w:r>
    </w:p>
    <w:p w14:paraId="5505BAC3">
      <w:pPr>
        <w:pStyle w:val="13"/>
        <w:widowControl/>
        <w:spacing w:beforeAutospacing="0" w:afterAutospacing="0" w:line="360" w:lineRule="auto"/>
        <w:ind w:firstLine="480" w:firstLineChars="200"/>
        <w:outlineLvl w:val="1"/>
        <w:rPr>
          <w:rFonts w:hint="eastAsia" w:cs="宋体" w:asciiTheme="minorEastAsia" w:hAnsiTheme="minorEastAsia"/>
          <w:color w:val="000000"/>
          <w:highlight w:val="none"/>
        </w:rPr>
      </w:pPr>
      <w:bookmarkStart w:id="73" w:name="_Toc220925391"/>
      <w:bookmarkStart w:id="74" w:name="_Toc220923876"/>
      <w:bookmarkStart w:id="75" w:name="_Toc22821"/>
      <w:bookmarkStart w:id="76" w:name="_Toc220924382"/>
      <w:bookmarkStart w:id="77" w:name="_Toc7647"/>
      <w:bookmarkStart w:id="78" w:name="_Toc220925017"/>
      <w:bookmarkStart w:id="79" w:name="_Toc220924064"/>
      <w:r>
        <w:rPr>
          <w:rFonts w:hint="eastAsia" w:cs="宋体" w:asciiTheme="minorEastAsia" w:hAnsiTheme="minorEastAsia"/>
          <w:color w:val="000000"/>
          <w:highlight w:val="none"/>
        </w:rPr>
        <w:t>（四）最终得分=价格分+技术分+商务分</w:t>
      </w:r>
      <w:bookmarkEnd w:id="73"/>
      <w:bookmarkEnd w:id="74"/>
      <w:bookmarkEnd w:id="75"/>
      <w:bookmarkEnd w:id="76"/>
      <w:bookmarkEnd w:id="77"/>
      <w:bookmarkEnd w:id="78"/>
      <w:bookmarkEnd w:id="79"/>
    </w:p>
    <w:p w14:paraId="57DAB10A">
      <w:pPr>
        <w:pStyle w:val="13"/>
        <w:widowControl/>
        <w:spacing w:beforeAutospacing="0" w:afterAutospacing="0" w:line="360" w:lineRule="auto"/>
        <w:ind w:firstLine="482" w:firstLineChars="200"/>
        <w:outlineLvl w:val="0"/>
        <w:rPr>
          <w:rFonts w:hint="eastAsia" w:cs="宋体" w:asciiTheme="minorEastAsia" w:hAnsiTheme="minorEastAsia"/>
          <w:b/>
          <w:color w:val="000000"/>
        </w:rPr>
      </w:pPr>
      <w:bookmarkStart w:id="80" w:name="_Toc220925392"/>
      <w:bookmarkStart w:id="81" w:name="_Toc11592"/>
      <w:bookmarkStart w:id="82" w:name="_Toc29727"/>
      <w:r>
        <w:rPr>
          <w:rFonts w:hint="eastAsia" w:cs="宋体" w:asciiTheme="minorEastAsia" w:hAnsiTheme="minorEastAsia"/>
          <w:b/>
          <w:color w:val="000000"/>
        </w:rPr>
        <w:t>九、报名方式及截止时间</w:t>
      </w:r>
      <w:bookmarkEnd w:id="80"/>
      <w:bookmarkEnd w:id="81"/>
      <w:bookmarkEnd w:id="82"/>
    </w:p>
    <w:p w14:paraId="7BC6C38A">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本公告自2026年</w:t>
      </w:r>
      <w:r>
        <w:rPr>
          <w:rFonts w:hint="eastAsia" w:cs="宋体" w:asciiTheme="minorEastAsia" w:hAnsiTheme="minorEastAsia"/>
          <w:color w:val="000000"/>
          <w:lang w:val="en-US" w:eastAsia="zh-CN"/>
        </w:rPr>
        <w:t>3</w:t>
      </w:r>
      <w:r>
        <w:rPr>
          <w:rFonts w:hint="eastAsia" w:cs="宋体" w:asciiTheme="minorEastAsia" w:hAnsiTheme="minorEastAsia"/>
          <w:color w:val="000000"/>
        </w:rPr>
        <w:t>月</w:t>
      </w:r>
      <w:r>
        <w:rPr>
          <w:rFonts w:hint="eastAsia" w:cs="宋体" w:asciiTheme="minorEastAsia" w:hAnsiTheme="minorEastAsia"/>
          <w:color w:val="000000"/>
          <w:lang w:val="en-US" w:eastAsia="zh-CN"/>
        </w:rPr>
        <w:t>17</w:t>
      </w:r>
      <w:r>
        <w:rPr>
          <w:rFonts w:hint="eastAsia" w:cs="宋体" w:asciiTheme="minorEastAsia" w:hAnsiTheme="minorEastAsia"/>
          <w:color w:val="000000"/>
        </w:rPr>
        <w:t>日至</w:t>
      </w:r>
      <w:r>
        <w:rPr>
          <w:rFonts w:hint="eastAsia" w:cs="宋体" w:asciiTheme="minorEastAsia" w:hAnsiTheme="minorEastAsia"/>
          <w:color w:val="000000"/>
          <w:lang w:val="en-US" w:eastAsia="zh-CN"/>
        </w:rPr>
        <w:t>3</w:t>
      </w:r>
      <w:r>
        <w:rPr>
          <w:rFonts w:hint="eastAsia" w:cs="宋体" w:asciiTheme="minorEastAsia" w:hAnsiTheme="minorEastAsia"/>
          <w:color w:val="000000"/>
        </w:rPr>
        <w:t>月</w:t>
      </w:r>
      <w:r>
        <w:rPr>
          <w:rFonts w:hint="eastAsia" w:cs="宋体" w:asciiTheme="minorEastAsia" w:hAnsiTheme="minorEastAsia"/>
          <w:color w:val="000000"/>
          <w:lang w:val="en-US" w:eastAsia="zh-CN"/>
        </w:rPr>
        <w:t>19</w:t>
      </w:r>
      <w:r>
        <w:rPr>
          <w:rFonts w:hint="eastAsia" w:cs="宋体" w:asciiTheme="minorEastAsia" w:hAnsiTheme="minorEastAsia"/>
          <w:color w:val="000000"/>
        </w:rPr>
        <w:t>日止。投标人应于2026年</w:t>
      </w:r>
      <w:r>
        <w:rPr>
          <w:rFonts w:hint="eastAsia" w:cs="宋体" w:asciiTheme="minorEastAsia" w:hAnsiTheme="minorEastAsia"/>
          <w:color w:val="000000"/>
          <w:lang w:val="en-US" w:eastAsia="zh-CN"/>
        </w:rPr>
        <w:t>3</w:t>
      </w:r>
      <w:r>
        <w:rPr>
          <w:rFonts w:hint="eastAsia" w:cs="宋体" w:asciiTheme="minorEastAsia" w:hAnsiTheme="minorEastAsia"/>
          <w:color w:val="000000"/>
        </w:rPr>
        <w:t>月</w:t>
      </w:r>
      <w:r>
        <w:rPr>
          <w:rFonts w:hint="eastAsia" w:cs="宋体" w:asciiTheme="minorEastAsia" w:hAnsiTheme="minorEastAsia"/>
          <w:color w:val="000000"/>
          <w:lang w:val="en-US" w:eastAsia="zh-CN"/>
        </w:rPr>
        <w:t>19</w:t>
      </w:r>
      <w:r>
        <w:rPr>
          <w:rFonts w:hint="eastAsia" w:cs="宋体" w:asciiTheme="minorEastAsia" w:hAnsiTheme="minorEastAsia"/>
          <w:color w:val="000000"/>
        </w:rPr>
        <w:t>日下午18时前，将响应文件（响应文件要求必须具备但不限于附件的全部要求内容）按一式</w:t>
      </w:r>
      <w:r>
        <w:rPr>
          <w:rFonts w:hint="eastAsia" w:cs="宋体" w:asciiTheme="minorEastAsia" w:hAnsiTheme="minorEastAsia"/>
          <w:color w:val="000000"/>
          <w:lang w:eastAsia="zh-CN"/>
        </w:rPr>
        <w:t>三</w:t>
      </w:r>
      <w:r>
        <w:rPr>
          <w:rFonts w:hint="eastAsia" w:cs="宋体" w:asciiTheme="minorEastAsia" w:hAnsiTheme="minorEastAsia"/>
          <w:color w:val="000000"/>
        </w:rPr>
        <w:t>份打印，加盖公章密封后递交到南宁市青秀区百花岭路6号广西壮族自治区</w:t>
      </w:r>
      <w:r>
        <w:rPr>
          <w:rFonts w:hint="eastAsia" w:cs="宋体" w:asciiTheme="minorEastAsia" w:hAnsiTheme="minorEastAsia"/>
          <w:color w:val="000000"/>
          <w:lang w:eastAsia="zh-CN"/>
        </w:rPr>
        <w:t>水运</w:t>
      </w:r>
      <w:r>
        <w:rPr>
          <w:rFonts w:hint="eastAsia" w:cs="宋体" w:asciiTheme="minorEastAsia" w:hAnsiTheme="minorEastAsia"/>
          <w:color w:val="000000"/>
        </w:rPr>
        <w:t>发展中心办公楼4楼406室，联系人：温工。逾期送达的将予以拒收。</w:t>
      </w:r>
    </w:p>
    <w:p w14:paraId="13488F74">
      <w:pPr>
        <w:pStyle w:val="13"/>
        <w:widowControl/>
        <w:spacing w:beforeAutospacing="0" w:afterAutospacing="0" w:line="360" w:lineRule="auto"/>
        <w:ind w:firstLine="482" w:firstLineChars="200"/>
        <w:outlineLvl w:val="0"/>
        <w:rPr>
          <w:rFonts w:hint="eastAsia" w:asciiTheme="minorEastAsia" w:hAnsiTheme="minorEastAsia"/>
        </w:rPr>
      </w:pPr>
      <w:bookmarkStart w:id="83" w:name="_Toc5320"/>
      <w:bookmarkStart w:id="84" w:name="_Toc220925393"/>
      <w:bookmarkStart w:id="85" w:name="_Toc6235"/>
      <w:r>
        <w:rPr>
          <w:rStyle w:val="16"/>
          <w:rFonts w:hint="eastAsia" w:cs="宋体" w:asciiTheme="minorEastAsia" w:hAnsiTheme="minorEastAsia"/>
          <w:color w:val="000000"/>
        </w:rPr>
        <w:t>十、网上公告媒体</w:t>
      </w:r>
      <w:bookmarkEnd w:id="83"/>
      <w:bookmarkEnd w:id="84"/>
      <w:bookmarkEnd w:id="85"/>
    </w:p>
    <w:p w14:paraId="61B4149A">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广西壮族自治区</w:t>
      </w:r>
      <w:r>
        <w:rPr>
          <w:rFonts w:hint="eastAsia" w:cs="宋体" w:asciiTheme="minorEastAsia" w:hAnsiTheme="minorEastAsia"/>
          <w:color w:val="000000"/>
          <w:lang w:eastAsia="zh-CN"/>
        </w:rPr>
        <w:t>水运</w:t>
      </w:r>
      <w:r>
        <w:rPr>
          <w:rFonts w:hint="eastAsia" w:cs="宋体" w:asciiTheme="minorEastAsia" w:hAnsiTheme="minorEastAsia"/>
          <w:color w:val="000000"/>
        </w:rPr>
        <w:t>发展中心门户网站（http://www.gxghj.cn）。</w:t>
      </w:r>
    </w:p>
    <w:p w14:paraId="54875261">
      <w:pPr>
        <w:pStyle w:val="13"/>
        <w:widowControl/>
        <w:spacing w:beforeAutospacing="0" w:afterAutospacing="0" w:line="360" w:lineRule="auto"/>
        <w:ind w:firstLine="482" w:firstLineChars="200"/>
        <w:outlineLvl w:val="0"/>
        <w:rPr>
          <w:rFonts w:hint="eastAsia" w:asciiTheme="minorEastAsia" w:hAnsiTheme="minorEastAsia"/>
        </w:rPr>
      </w:pPr>
      <w:bookmarkStart w:id="86" w:name="_Toc7585"/>
      <w:bookmarkStart w:id="87" w:name="_Toc220925394"/>
      <w:bookmarkStart w:id="88" w:name="_Toc1406"/>
      <w:r>
        <w:rPr>
          <w:rStyle w:val="16"/>
          <w:rFonts w:hint="eastAsia" w:cs="宋体" w:asciiTheme="minorEastAsia" w:hAnsiTheme="minorEastAsia"/>
          <w:color w:val="000000"/>
        </w:rPr>
        <w:t>十一、联系事项</w:t>
      </w:r>
      <w:bookmarkEnd w:id="86"/>
      <w:bookmarkEnd w:id="87"/>
      <w:bookmarkEnd w:id="88"/>
    </w:p>
    <w:p w14:paraId="6670256F">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1. 联系人：温工</w:t>
      </w:r>
    </w:p>
    <w:p w14:paraId="7758F720">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2. 联系电话：0771-2115694</w:t>
      </w:r>
    </w:p>
    <w:p w14:paraId="2B0D84BB">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3. 联系地址及邮政编码：南宁市青秀区百花岭路6号翠竹小区广西壮族自治区</w:t>
      </w:r>
      <w:r>
        <w:rPr>
          <w:rFonts w:hint="eastAsia" w:cs="宋体" w:asciiTheme="minorEastAsia" w:hAnsiTheme="minorEastAsia"/>
          <w:color w:val="000000"/>
          <w:lang w:eastAsia="zh-CN"/>
        </w:rPr>
        <w:t>水运</w:t>
      </w:r>
      <w:r>
        <w:rPr>
          <w:rFonts w:hint="eastAsia" w:cs="宋体" w:asciiTheme="minorEastAsia" w:hAnsiTheme="minorEastAsia"/>
          <w:color w:val="000000"/>
        </w:rPr>
        <w:t>发展中心信息综合楼4楼406室，53002</w:t>
      </w:r>
      <w:r>
        <w:rPr>
          <w:rFonts w:hint="eastAsia" w:cs="宋体" w:asciiTheme="minorEastAsia" w:hAnsiTheme="minorEastAsia"/>
          <w:color w:val="000000"/>
          <w:lang w:val="en-US" w:eastAsia="zh-CN"/>
        </w:rPr>
        <w:t>9</w:t>
      </w:r>
      <w:r>
        <w:rPr>
          <w:rFonts w:hint="eastAsia" w:cs="宋体" w:asciiTheme="minorEastAsia" w:hAnsiTheme="minorEastAsia"/>
          <w:color w:val="000000"/>
        </w:rPr>
        <w:t>  </w:t>
      </w:r>
    </w:p>
    <w:p w14:paraId="40A9C862">
      <w:pPr>
        <w:pStyle w:val="13"/>
        <w:widowControl/>
        <w:spacing w:beforeAutospacing="0" w:afterAutospacing="0" w:line="360" w:lineRule="auto"/>
        <w:ind w:firstLine="2400" w:firstLineChars="1000"/>
        <w:jc w:val="both"/>
        <w:rPr>
          <w:rFonts w:hint="eastAsia" w:cs="宋体" w:asciiTheme="minorEastAsia" w:hAnsiTheme="minorEastAsia"/>
          <w:color w:val="000000"/>
        </w:rPr>
      </w:pPr>
    </w:p>
    <w:p w14:paraId="4C793842">
      <w:pPr>
        <w:pStyle w:val="13"/>
        <w:widowControl/>
        <w:spacing w:beforeAutospacing="0" w:afterAutospacing="0" w:line="360" w:lineRule="auto"/>
        <w:ind w:firstLine="2400" w:firstLineChars="1000"/>
        <w:jc w:val="center"/>
        <w:rPr>
          <w:rFonts w:hint="eastAsia" w:cs="宋体" w:asciiTheme="minorEastAsia" w:hAnsiTheme="minorEastAsia"/>
          <w:color w:val="000000"/>
        </w:rPr>
      </w:pPr>
      <w:r>
        <w:rPr>
          <w:rFonts w:hint="eastAsia" w:cs="宋体" w:asciiTheme="minorEastAsia" w:hAnsiTheme="minorEastAsia"/>
          <w:color w:val="000000"/>
        </w:rPr>
        <w:t xml:space="preserve"> 广西壮族自治区</w:t>
      </w:r>
      <w:r>
        <w:rPr>
          <w:rFonts w:hint="eastAsia" w:cs="宋体" w:asciiTheme="minorEastAsia" w:hAnsiTheme="minorEastAsia"/>
          <w:color w:val="000000"/>
          <w:lang w:eastAsia="zh-CN"/>
        </w:rPr>
        <w:t>水运</w:t>
      </w:r>
      <w:r>
        <w:rPr>
          <w:rFonts w:hint="eastAsia" w:cs="宋体" w:asciiTheme="minorEastAsia" w:hAnsiTheme="minorEastAsia"/>
          <w:color w:val="000000"/>
        </w:rPr>
        <w:t>发展中心</w:t>
      </w:r>
    </w:p>
    <w:p w14:paraId="617021F4">
      <w:pPr>
        <w:pStyle w:val="13"/>
        <w:widowControl/>
        <w:spacing w:beforeAutospacing="0" w:afterAutospacing="0" w:line="360" w:lineRule="auto"/>
        <w:ind w:firstLine="645"/>
        <w:jc w:val="center"/>
        <w:rPr>
          <w:rFonts w:hint="eastAsia" w:cs="宋体" w:asciiTheme="majorEastAsia" w:hAnsiTheme="majorEastAsia" w:eastAsiaTheme="majorEastAsia"/>
          <w:b/>
          <w:bCs/>
          <w:color w:val="000000"/>
          <w:sz w:val="32"/>
          <w:szCs w:val="32"/>
        </w:rPr>
      </w:pPr>
      <w:r>
        <w:rPr>
          <w:rFonts w:hint="eastAsia" w:cs="宋体" w:asciiTheme="minorEastAsia" w:hAnsiTheme="minorEastAsia"/>
          <w:color w:val="000000"/>
        </w:rPr>
        <w:t xml:space="preserve">                    2026年3月</w:t>
      </w:r>
      <w:r>
        <w:rPr>
          <w:rFonts w:hint="eastAsia" w:cs="宋体" w:asciiTheme="minorEastAsia" w:hAnsiTheme="minorEastAsia"/>
          <w:color w:val="000000"/>
          <w:lang w:val="en-US" w:eastAsia="zh-CN"/>
        </w:rPr>
        <w:t>16</w:t>
      </w:r>
      <w:bookmarkStart w:id="95" w:name="_GoBack"/>
      <w:bookmarkEnd w:id="95"/>
      <w:r>
        <w:rPr>
          <w:rFonts w:hint="eastAsia" w:cs="宋体" w:asciiTheme="minorEastAsia" w:hAnsiTheme="minorEastAsia"/>
          <w:color w:val="000000"/>
        </w:rPr>
        <w:t>日 </w:t>
      </w:r>
    </w:p>
    <w:p w14:paraId="25D36FA6">
      <w:pPr>
        <w:pStyle w:val="13"/>
        <w:widowControl/>
        <w:spacing w:beforeAutospacing="0" w:afterAutospacing="0" w:line="360" w:lineRule="auto"/>
        <w:jc w:val="center"/>
        <w:outlineLvl w:val="0"/>
        <w:rPr>
          <w:rFonts w:hint="eastAsia" w:cs="宋体" w:asciiTheme="majorEastAsia" w:hAnsiTheme="majorEastAsia" w:eastAsiaTheme="majorEastAsia"/>
          <w:color w:val="000000"/>
          <w:sz w:val="32"/>
          <w:szCs w:val="32"/>
        </w:rPr>
      </w:pPr>
      <w:bookmarkStart w:id="89" w:name="_Toc220925395"/>
      <w:bookmarkStart w:id="90" w:name="_Toc895"/>
      <w:r>
        <w:rPr>
          <w:rFonts w:hint="eastAsia" w:cs="宋体" w:asciiTheme="majorEastAsia" w:hAnsiTheme="majorEastAsia" w:eastAsiaTheme="majorEastAsia"/>
          <w:b/>
          <w:bCs/>
          <w:color w:val="000000"/>
          <w:sz w:val="32"/>
          <w:szCs w:val="32"/>
        </w:rPr>
        <w:t>第二章 业主码头收费系统数据整理服务采购响应文件要求</w:t>
      </w:r>
      <w:bookmarkEnd w:id="89"/>
      <w:bookmarkEnd w:id="90"/>
    </w:p>
    <w:p w14:paraId="3B6EFD42">
      <w:pPr>
        <w:pStyle w:val="13"/>
        <w:widowControl/>
        <w:spacing w:beforeAutospacing="0" w:afterAutospacing="0" w:line="360" w:lineRule="auto"/>
        <w:ind w:firstLine="645"/>
        <w:jc w:val="center"/>
        <w:rPr>
          <w:rFonts w:hint="eastAsia" w:cs="宋体" w:asciiTheme="minorEastAsia" w:hAnsiTheme="minorEastAsia"/>
          <w:color w:val="000000"/>
        </w:rPr>
      </w:pPr>
    </w:p>
    <w:p w14:paraId="2BF6B188">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响应文件组成部分应包含以下内容（以下文件必须加盖公章，要求必须提供的文件应按要求提供，否则竞标无效）：</w:t>
      </w:r>
    </w:p>
    <w:p w14:paraId="32057F1B">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一、采购响应函（</w:t>
      </w:r>
      <w:r>
        <w:rPr>
          <w:rFonts w:hint="eastAsia" w:cs="宋体" w:asciiTheme="minorEastAsia" w:hAnsiTheme="minorEastAsia"/>
          <w:color w:val="000000"/>
          <w:lang w:eastAsia="zh-CN"/>
        </w:rPr>
        <w:t>见格式</w:t>
      </w:r>
      <w:r>
        <w:rPr>
          <w:rFonts w:hint="eastAsia" w:cs="宋体" w:asciiTheme="minorEastAsia" w:hAnsiTheme="minorEastAsia"/>
          <w:color w:val="000000"/>
          <w:lang w:val="en-US" w:eastAsia="zh-CN"/>
        </w:rPr>
        <w:t>1</w:t>
      </w:r>
      <w:r>
        <w:rPr>
          <w:rFonts w:hint="eastAsia" w:cs="宋体" w:asciiTheme="minorEastAsia" w:hAnsiTheme="minorEastAsia"/>
          <w:color w:val="000000"/>
        </w:rPr>
        <w:t>，必须提供）；</w:t>
      </w:r>
    </w:p>
    <w:p w14:paraId="17E9FA57">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二、报价表（见格式</w:t>
      </w:r>
      <w:r>
        <w:rPr>
          <w:rFonts w:hint="eastAsia" w:cs="宋体" w:asciiTheme="minorEastAsia" w:hAnsiTheme="minorEastAsia"/>
          <w:color w:val="000000"/>
          <w:lang w:val="en-US" w:eastAsia="zh-CN"/>
        </w:rPr>
        <w:t>2</w:t>
      </w:r>
      <w:r>
        <w:rPr>
          <w:rFonts w:hint="eastAsia" w:cs="宋体" w:asciiTheme="minorEastAsia" w:hAnsiTheme="minorEastAsia"/>
          <w:color w:val="000000"/>
        </w:rPr>
        <w:t>，必须提供）；</w:t>
      </w:r>
    </w:p>
    <w:p w14:paraId="063592AE">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三、有效的营业执照、税务登记证、组织机构代码证或营业执照（三证合一）（提交复印件加盖单位公章，必须提供）；</w:t>
      </w:r>
    </w:p>
    <w:p w14:paraId="5048E418">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四、法定代表人身份证明书（必须提供）；</w:t>
      </w:r>
    </w:p>
    <w:p w14:paraId="1763401E">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五、投标人在“信用中国”网站（www.creditchina.gov.cn）查询相关投标人信用记录，同时须将查询结果打印加盖公章提交（必须提供，否则响应无效）。 “信用中国”查询内容包括：信用信息页面、失信被执行人、重大税收违法案件当事人名单共三个网页打印，网页打印须显示投标人名称以及查询结果。其中基本信息页面打印时间为本项目自采购公告发布之日起至截止时间止；</w:t>
      </w:r>
    </w:p>
    <w:p w14:paraId="559F78BE">
      <w:pPr>
        <w:pStyle w:val="13"/>
        <w:widowControl/>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六、投标人在“中国政府采购网”（www.ccgp.gov.cn/search/cr）查询与投标人相关政府采购严重违法失信行为记录名单记录，并将查询结果打印加盖公章提交。网页打印须显示投标人名称以及查询结果，其中基本信息页面打印时间为本项目自采购公告发布之日起至截止时间止。（必须提供，否则响应无效）</w:t>
      </w:r>
    </w:p>
    <w:p w14:paraId="61E7F38D">
      <w:pPr>
        <w:pStyle w:val="13"/>
        <w:widowControl/>
        <w:spacing w:beforeAutospacing="0" w:afterAutospacing="0" w:line="360" w:lineRule="auto"/>
        <w:rPr>
          <w:rFonts w:hint="eastAsia" w:cs="宋体" w:asciiTheme="minorEastAsia" w:hAnsiTheme="minorEastAsia"/>
          <w:color w:val="000000"/>
        </w:rPr>
      </w:pPr>
    </w:p>
    <w:p w14:paraId="69CC1B26">
      <w:pPr>
        <w:pStyle w:val="13"/>
        <w:widowControl/>
        <w:spacing w:beforeAutospacing="0" w:afterAutospacing="0" w:line="360" w:lineRule="auto"/>
        <w:rPr>
          <w:rFonts w:hint="eastAsia" w:cs="宋体" w:asciiTheme="minorEastAsia" w:hAnsiTheme="minorEastAsia"/>
          <w:color w:val="000000"/>
        </w:rPr>
      </w:pPr>
    </w:p>
    <w:p w14:paraId="7A83BCBE">
      <w:pPr>
        <w:pStyle w:val="13"/>
        <w:widowControl/>
        <w:spacing w:beforeAutospacing="0" w:afterAutospacing="0" w:line="360" w:lineRule="auto"/>
        <w:rPr>
          <w:rFonts w:hint="eastAsia" w:cs="宋体" w:asciiTheme="minorEastAsia" w:hAnsiTheme="minorEastAsia"/>
          <w:color w:val="000000"/>
        </w:rPr>
      </w:pPr>
    </w:p>
    <w:p w14:paraId="11907EC8">
      <w:pPr>
        <w:pStyle w:val="13"/>
        <w:widowControl/>
        <w:spacing w:beforeAutospacing="0" w:afterAutospacing="0" w:line="360" w:lineRule="auto"/>
        <w:rPr>
          <w:rFonts w:hint="eastAsia" w:cs="宋体" w:asciiTheme="minorEastAsia" w:hAnsiTheme="minorEastAsia"/>
          <w:color w:val="000000"/>
        </w:rPr>
      </w:pPr>
    </w:p>
    <w:p w14:paraId="55C182C9">
      <w:pPr>
        <w:pStyle w:val="13"/>
        <w:widowControl/>
        <w:spacing w:beforeAutospacing="0" w:afterAutospacing="0" w:line="360" w:lineRule="auto"/>
        <w:rPr>
          <w:rFonts w:hint="eastAsia" w:cs="宋体" w:asciiTheme="minorEastAsia" w:hAnsiTheme="minorEastAsia"/>
          <w:color w:val="000000"/>
        </w:rPr>
      </w:pPr>
    </w:p>
    <w:p w14:paraId="435D3818">
      <w:pPr>
        <w:pStyle w:val="13"/>
        <w:widowControl/>
        <w:spacing w:beforeAutospacing="0" w:afterAutospacing="0" w:line="360" w:lineRule="auto"/>
        <w:rPr>
          <w:rFonts w:hint="eastAsia" w:cs="宋体" w:asciiTheme="minorEastAsia" w:hAnsiTheme="minorEastAsia"/>
          <w:color w:val="000000"/>
        </w:rPr>
      </w:pPr>
    </w:p>
    <w:p w14:paraId="71D2ADD1">
      <w:pPr>
        <w:pStyle w:val="13"/>
        <w:widowControl/>
        <w:spacing w:beforeAutospacing="0" w:afterAutospacing="0" w:line="360" w:lineRule="auto"/>
        <w:rPr>
          <w:rFonts w:hint="eastAsia" w:cs="宋体" w:asciiTheme="minorEastAsia" w:hAnsiTheme="minorEastAsia"/>
          <w:color w:val="000000"/>
        </w:rPr>
      </w:pPr>
    </w:p>
    <w:p w14:paraId="2AEBB164">
      <w:pPr>
        <w:pStyle w:val="13"/>
        <w:widowControl/>
        <w:spacing w:beforeAutospacing="0" w:afterAutospacing="0" w:line="360" w:lineRule="auto"/>
        <w:rPr>
          <w:rFonts w:hint="eastAsia" w:cs="宋体" w:asciiTheme="minorEastAsia" w:hAnsiTheme="minorEastAsia"/>
          <w:color w:val="000000"/>
        </w:rPr>
      </w:pPr>
    </w:p>
    <w:p w14:paraId="4349E5C1">
      <w:pPr>
        <w:pStyle w:val="13"/>
        <w:widowControl/>
        <w:spacing w:beforeAutospacing="0" w:afterAutospacing="0" w:line="360" w:lineRule="auto"/>
        <w:rPr>
          <w:rFonts w:hint="eastAsia" w:cs="宋体" w:asciiTheme="minorEastAsia" w:hAnsiTheme="minorEastAsia"/>
          <w:color w:val="000000"/>
        </w:rPr>
      </w:pPr>
    </w:p>
    <w:p w14:paraId="1FBA78C0">
      <w:pPr>
        <w:pStyle w:val="13"/>
        <w:widowControl/>
        <w:spacing w:beforeAutospacing="0" w:afterAutospacing="0" w:line="360" w:lineRule="auto"/>
        <w:rPr>
          <w:rFonts w:hint="eastAsia" w:cs="宋体" w:asciiTheme="minorEastAsia" w:hAnsiTheme="minorEastAsia"/>
          <w:color w:val="000000"/>
        </w:rPr>
      </w:pPr>
    </w:p>
    <w:p w14:paraId="5BA88425">
      <w:pPr>
        <w:pStyle w:val="13"/>
        <w:widowControl/>
        <w:spacing w:beforeAutospacing="0" w:afterAutospacing="0" w:line="360" w:lineRule="auto"/>
        <w:rPr>
          <w:rFonts w:hint="eastAsia" w:cs="宋体" w:asciiTheme="minorEastAsia" w:hAnsiTheme="minorEastAsia"/>
          <w:color w:val="000000"/>
        </w:rPr>
      </w:pPr>
    </w:p>
    <w:p w14:paraId="696A0440">
      <w:pPr>
        <w:pStyle w:val="13"/>
        <w:widowControl/>
        <w:numPr>
          <w:ilvl w:val="-1"/>
          <w:numId w:val="0"/>
        </w:numPr>
        <w:spacing w:beforeAutospacing="0" w:afterAutospacing="0" w:line="360" w:lineRule="auto"/>
        <w:rPr>
          <w:rFonts w:ascii="宋体" w:hAnsi="宋体" w:eastAsia="宋体" w:cs="宋体"/>
          <w:sz w:val="24"/>
          <w:szCs w:val="24"/>
        </w:rPr>
      </w:pPr>
      <w:r>
        <w:rPr>
          <w:rFonts w:hint="eastAsia" w:ascii="宋体" w:hAnsi="宋体" w:eastAsia="宋体" w:cs="宋体"/>
          <w:sz w:val="24"/>
          <w:szCs w:val="24"/>
          <w:lang w:eastAsia="zh-CN"/>
        </w:rPr>
        <w:t>格式</w:t>
      </w:r>
      <w:r>
        <w:rPr>
          <w:rFonts w:hint="eastAsia" w:ascii="宋体" w:hAnsi="宋体" w:eastAsia="宋体" w:cs="宋体"/>
          <w:sz w:val="24"/>
          <w:szCs w:val="24"/>
          <w:lang w:val="en-US" w:eastAsia="zh-CN"/>
        </w:rPr>
        <w:t>1</w:t>
      </w:r>
    </w:p>
    <w:p w14:paraId="74062BB4">
      <w:pPr>
        <w:pStyle w:val="13"/>
        <w:widowControl/>
        <w:spacing w:beforeAutospacing="0" w:afterAutospacing="0" w:line="360" w:lineRule="auto"/>
        <w:ind w:firstLine="645"/>
        <w:jc w:val="center"/>
        <w:rPr>
          <w:rStyle w:val="16"/>
          <w:rFonts w:eastAsia="宋体"/>
        </w:rPr>
      </w:pPr>
      <w:r>
        <w:rPr>
          <w:rStyle w:val="16"/>
          <w:rFonts w:hint="eastAsia" w:asciiTheme="minorEastAsia" w:hAnsiTheme="minorEastAsia"/>
          <w:color w:val="000000"/>
        </w:rPr>
        <w:t>采购响应函</w:t>
      </w:r>
    </w:p>
    <w:p w14:paraId="27A13AF0">
      <w:pPr>
        <w:pStyle w:val="13"/>
        <w:widowControl/>
        <w:numPr>
          <w:ilvl w:val="-1"/>
          <w:numId w:val="0"/>
        </w:numPr>
        <w:spacing w:beforeAutospacing="0" w:afterAutospacing="0" w:line="360" w:lineRule="auto"/>
        <w:rPr>
          <w:rFonts w:ascii="宋体" w:hAnsi="宋体" w:eastAsia="宋体" w:cs="宋体"/>
          <w:sz w:val="24"/>
          <w:szCs w:val="24"/>
        </w:rPr>
      </w:pPr>
      <w:r>
        <w:rPr>
          <w:rFonts w:ascii="宋体" w:hAnsi="宋体" w:eastAsia="宋体" w:cs="宋体"/>
          <w:sz w:val="24"/>
          <w:szCs w:val="24"/>
        </w:rPr>
        <w:t xml:space="preserve">致： </w:t>
      </w:r>
      <w:r>
        <w:rPr>
          <w:rFonts w:hint="eastAsia" w:ascii="宋体" w:hAnsi="宋体" w:eastAsia="宋体" w:cs="宋体"/>
          <w:sz w:val="24"/>
          <w:szCs w:val="24"/>
          <w:lang w:val="en-US" w:eastAsia="zh-CN"/>
        </w:rPr>
        <w:t xml:space="preserve">              </w:t>
      </w:r>
      <w:r>
        <w:rPr>
          <w:rFonts w:ascii="宋体" w:hAnsi="宋体" w:eastAsia="宋体" w:cs="宋体"/>
          <w:sz w:val="24"/>
          <w:szCs w:val="24"/>
        </w:rPr>
        <w:t>（采购人）：</w:t>
      </w:r>
    </w:p>
    <w:p w14:paraId="67B9EC7A">
      <w:pPr>
        <w:pStyle w:val="13"/>
        <w:widowControl/>
        <w:numPr>
          <w:ilvl w:val="-1"/>
          <w:numId w:val="0"/>
        </w:numPr>
        <w:spacing w:beforeAutospacing="0" w:afterAutospacing="0" w:line="360" w:lineRule="auto"/>
        <w:ind w:firstLine="480" w:firstLineChars="200"/>
        <w:rPr>
          <w:rFonts w:ascii="宋体" w:hAnsi="宋体" w:eastAsia="宋体" w:cs="宋体"/>
          <w:sz w:val="24"/>
          <w:szCs w:val="24"/>
        </w:rPr>
      </w:pPr>
      <w:r>
        <w:rPr>
          <w:rFonts w:ascii="宋体" w:hAnsi="宋体" w:eastAsia="宋体" w:cs="宋体"/>
          <w:sz w:val="24"/>
          <w:szCs w:val="24"/>
        </w:rPr>
        <w:t>根据贵方为</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项目的采购公告，</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 姓 名 ）代表供应商</w:t>
      </w:r>
      <w:r>
        <w:rPr>
          <w:rFonts w:hint="eastAsia" w:ascii="宋体" w:hAnsi="宋体" w:eastAsia="宋体" w:cs="宋体"/>
          <w:sz w:val="24"/>
          <w:szCs w:val="24"/>
          <w:lang w:val="en-US" w:eastAsia="zh-CN"/>
        </w:rPr>
        <w:t xml:space="preserve">          </w:t>
      </w:r>
      <w:r>
        <w:rPr>
          <w:rFonts w:ascii="宋体" w:hAnsi="宋体" w:eastAsia="宋体" w:cs="宋体"/>
          <w:sz w:val="24"/>
          <w:szCs w:val="24"/>
        </w:rPr>
        <w:t>（供应商名称）提交采购响应文件一式三份。</w:t>
      </w:r>
    </w:p>
    <w:p w14:paraId="33072528">
      <w:pPr>
        <w:pStyle w:val="13"/>
        <w:widowControl/>
        <w:numPr>
          <w:ilvl w:val="-1"/>
          <w:numId w:val="0"/>
        </w:numPr>
        <w:spacing w:beforeAutospacing="0" w:afterAutospacing="0" w:line="240" w:lineRule="auto"/>
        <w:ind w:firstLine="480" w:firstLineChars="200"/>
        <w:rPr>
          <w:rFonts w:ascii="宋体" w:hAnsi="宋体" w:eastAsia="宋体" w:cs="宋体"/>
          <w:sz w:val="24"/>
          <w:szCs w:val="24"/>
        </w:rPr>
      </w:pPr>
      <w:r>
        <w:rPr>
          <w:rFonts w:ascii="宋体" w:hAnsi="宋体" w:eastAsia="宋体" w:cs="宋体"/>
          <w:sz w:val="24"/>
          <w:szCs w:val="24"/>
        </w:rPr>
        <w:t>据此，签字代表宣布同意如下：</w:t>
      </w:r>
    </w:p>
    <w:p w14:paraId="1FFF4D72">
      <w:pPr>
        <w:pStyle w:val="13"/>
        <w:widowControl/>
        <w:numPr>
          <w:ilvl w:val="-1"/>
          <w:numId w:val="0"/>
        </w:numPr>
        <w:spacing w:beforeAutospacing="0" w:afterAutospacing="0" w:line="240" w:lineRule="auto"/>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我方愿意以</w:t>
      </w:r>
      <w:r>
        <w:rPr>
          <w:rFonts w:hint="eastAsia" w:ascii="宋体" w:hAnsi="宋体" w:eastAsia="宋体" w:cs="宋体"/>
          <w:sz w:val="24"/>
          <w:szCs w:val="24"/>
          <w:lang w:val="en-US" w:eastAsia="zh-CN"/>
        </w:rPr>
        <w:t xml:space="preserve">               </w:t>
      </w:r>
      <w:r>
        <w:rPr>
          <w:rFonts w:ascii="宋体" w:hAnsi="宋体" w:eastAsia="宋体" w:cs="宋体"/>
          <w:sz w:val="24"/>
          <w:szCs w:val="24"/>
        </w:rPr>
        <w:t>（大写）人民币</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 元)的总报价提供本采购项目公告第五条“服务内容和要求”的采购内容。 </w:t>
      </w:r>
    </w:p>
    <w:p w14:paraId="03D10659">
      <w:pPr>
        <w:pStyle w:val="13"/>
        <w:widowControl/>
        <w:numPr>
          <w:ilvl w:val="-1"/>
          <w:numId w:val="0"/>
        </w:numPr>
        <w:spacing w:beforeAutospacing="0" w:afterAutospacing="0" w:line="360" w:lineRule="auto"/>
        <w:ind w:left="0" w:firstLine="480" w:firstLineChars="20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 xml:space="preserve">我方同意自本项目采购规定的投标截止时间（开标时间）起遵循本响应函，并承诺在采购有效期内不修改、撤销响应文件。 </w:t>
      </w:r>
    </w:p>
    <w:p w14:paraId="28CFED62">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3、我方在此声明，所递交的响应文件及有关资料内容完整、真实和准确。 </w:t>
      </w:r>
    </w:p>
    <w:p w14:paraId="5E7D8AEC">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4、我方承诺已经具备《中华人民共和国政府采购法》中规定的参加政府采购活动的供应商应当具备的条件： </w:t>
      </w:r>
    </w:p>
    <w:p w14:paraId="6CF103C2">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（1）具有独立承担民事责任的能力； </w:t>
      </w:r>
    </w:p>
    <w:p w14:paraId="783137F0">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（2）具有良好的商业信誉和健全的财务会计制度； </w:t>
      </w:r>
    </w:p>
    <w:p w14:paraId="1C1D27BB">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（3）具有履行合同所必需的设备和专业技术能力； </w:t>
      </w:r>
    </w:p>
    <w:p w14:paraId="52D54617">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（4）有依法缴纳税收和社会保障资金的良好记录； </w:t>
      </w:r>
    </w:p>
    <w:p w14:paraId="78871D1E">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（5）参加政府采购活动前三年内</w:t>
      </w:r>
      <w:r>
        <w:rPr>
          <w:rFonts w:hint="eastAsia" w:ascii="宋体" w:hAnsi="宋体" w:eastAsia="宋体" w:cs="宋体"/>
          <w:sz w:val="24"/>
          <w:szCs w:val="24"/>
          <w:lang w:eastAsia="zh-CN"/>
        </w:rPr>
        <w:t>，</w:t>
      </w:r>
      <w:r>
        <w:rPr>
          <w:rFonts w:ascii="宋体" w:hAnsi="宋体" w:eastAsia="宋体" w:cs="宋体"/>
          <w:sz w:val="24"/>
          <w:szCs w:val="24"/>
        </w:rPr>
        <w:t xml:space="preserve">在经营活动中没有重大违法记录； </w:t>
      </w:r>
    </w:p>
    <w:p w14:paraId="1A35FFDC">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（6）法律、行政法规规定的其他条件。 </w:t>
      </w:r>
    </w:p>
    <w:p w14:paraId="2DF8009E">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5、如我方中标，我方承诺在收到中标通知书后，在中标通知书规定的期限内，依据采购文件、我方的响应文件与采购人订立书面合同，并按照合同约定承担完成合同的责任和义务。 </w:t>
      </w:r>
    </w:p>
    <w:p w14:paraId="10E6757A">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6、我方已详细审核采购文件，我方知道必须放弃提出含糊不清或误解问题的权利。我方同意应贵方要求提供与本投标有关的任何数据或资料。若贵方需要，我方愿意提供我方作出的一切承诺的证明材料。</w:t>
      </w:r>
    </w:p>
    <w:p w14:paraId="6DA1B782">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7、以上事项如有虚假或隐瞒，我方愿意承担一切后果，并不再寻求任何旨在减轻或免除法律责任的辩解。 </w:t>
      </w:r>
    </w:p>
    <w:p w14:paraId="03E89710">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8、我方同意本响应文件中“响应报价表”和中标后签订的采购合同可用于公示，其中所有内容不涉及供应商商业秘密，并承诺提供相关电子文档。 </w:t>
      </w:r>
    </w:p>
    <w:p w14:paraId="11878471">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9、与本投标有关的一切正式往来信函请寄： </w:t>
      </w:r>
    </w:p>
    <w:p w14:paraId="1DEDDE30">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供应商全称： </w:t>
      </w:r>
    </w:p>
    <w:p w14:paraId="4A150478">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供应商地址： </w:t>
      </w:r>
    </w:p>
    <w:p w14:paraId="22FBDA70">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联系电话： </w:t>
      </w:r>
    </w:p>
    <w:p w14:paraId="0F51CB87">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电子邮箱： </w:t>
      </w:r>
    </w:p>
    <w:p w14:paraId="6B88619E">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法定代表人（负责人）姓名： </w:t>
      </w:r>
    </w:p>
    <w:p w14:paraId="5F0B1CE7">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法定代表人（负责人）身份证号码： </w:t>
      </w:r>
    </w:p>
    <w:p w14:paraId="3051703D">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授权委托代理人姓名： </w:t>
      </w:r>
    </w:p>
    <w:p w14:paraId="62F4CB82">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授权委托代理人身份证号码： </w:t>
      </w:r>
    </w:p>
    <w:p w14:paraId="042541E0">
      <w:pPr>
        <w:pStyle w:val="13"/>
        <w:widowControl/>
        <w:numPr>
          <w:ilvl w:val="-1"/>
          <w:numId w:val="0"/>
        </w:numPr>
        <w:spacing w:beforeAutospacing="0" w:afterAutospacing="0" w:line="240" w:lineRule="auto"/>
        <w:ind w:left="0" w:firstLine="480" w:firstLineChars="200"/>
        <w:rPr>
          <w:rFonts w:ascii="宋体" w:hAnsi="宋体" w:eastAsia="宋体" w:cs="宋体"/>
          <w:sz w:val="24"/>
          <w:szCs w:val="24"/>
        </w:rPr>
      </w:pPr>
      <w:r>
        <w:rPr>
          <w:rFonts w:ascii="宋体" w:hAnsi="宋体" w:eastAsia="宋体" w:cs="宋体"/>
          <w:sz w:val="24"/>
          <w:szCs w:val="24"/>
        </w:rPr>
        <w:t xml:space="preserve">法定代表人或其委托代理人： （签字或盖章） </w:t>
      </w:r>
    </w:p>
    <w:p w14:paraId="0CB38027">
      <w:pPr>
        <w:pStyle w:val="13"/>
        <w:widowControl/>
        <w:numPr>
          <w:ilvl w:val="0"/>
          <w:numId w:val="0"/>
        </w:numPr>
        <w:spacing w:beforeAutospacing="0" w:afterAutospacing="0" w:line="240" w:lineRule="auto"/>
        <w:ind w:firstLine="480" w:firstLineChars="200"/>
        <w:rPr>
          <w:rFonts w:hint="eastAsia" w:cs="宋体" w:asciiTheme="minorEastAsia" w:hAnsiTheme="minorEastAsia"/>
          <w:color w:val="000000"/>
        </w:rPr>
      </w:pPr>
      <w:r>
        <w:rPr>
          <w:rFonts w:ascii="宋体" w:hAnsi="宋体" w:eastAsia="宋体" w:cs="宋体"/>
          <w:sz w:val="24"/>
          <w:szCs w:val="24"/>
        </w:rPr>
        <w:t>年 月 日</w:t>
      </w:r>
    </w:p>
    <w:p w14:paraId="4DD03518">
      <w:pPr>
        <w:pStyle w:val="13"/>
        <w:widowControl/>
        <w:spacing w:beforeAutospacing="0" w:afterAutospacing="0" w:line="360" w:lineRule="auto"/>
        <w:rPr>
          <w:rFonts w:hint="eastAsia" w:asciiTheme="minorEastAsia" w:hAnsiTheme="minorEastAsia"/>
          <w:b/>
        </w:rPr>
      </w:pPr>
      <w:bookmarkStart w:id="91" w:name="_Toc17531"/>
      <w:r>
        <w:rPr>
          <w:rFonts w:hint="eastAsia" w:cs="宋体" w:asciiTheme="minorEastAsia" w:hAnsiTheme="minorEastAsia"/>
          <w:b/>
          <w:color w:val="000000"/>
        </w:rPr>
        <w:t>格式</w:t>
      </w:r>
      <w:bookmarkEnd w:id="91"/>
      <w:r>
        <w:rPr>
          <w:rFonts w:hint="eastAsia" w:cs="宋体" w:asciiTheme="minorEastAsia" w:hAnsiTheme="minorEastAsia"/>
          <w:b/>
          <w:color w:val="000000"/>
          <w:lang w:val="en-US" w:eastAsia="zh-CN"/>
        </w:rPr>
        <w:t>2</w:t>
      </w:r>
      <w:r>
        <w:rPr>
          <w:rFonts w:hint="eastAsia" w:cs="宋体" w:asciiTheme="minorEastAsia" w:hAnsiTheme="minorEastAsia"/>
          <w:b/>
          <w:color w:val="000000"/>
        </w:rPr>
        <w:t xml:space="preserve"> </w:t>
      </w:r>
    </w:p>
    <w:p w14:paraId="4791C1F2">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 </w:t>
      </w:r>
    </w:p>
    <w:p w14:paraId="3DCA2DCA">
      <w:pPr>
        <w:pStyle w:val="13"/>
        <w:widowControl/>
        <w:spacing w:beforeAutospacing="0" w:afterAutospacing="0" w:line="360" w:lineRule="auto"/>
        <w:ind w:firstLine="645"/>
        <w:jc w:val="center"/>
        <w:rPr>
          <w:rFonts w:hint="eastAsia" w:asciiTheme="minorEastAsia" w:hAnsiTheme="minorEastAsia"/>
        </w:rPr>
      </w:pPr>
      <w:r>
        <w:rPr>
          <w:rStyle w:val="16"/>
          <w:rFonts w:hint="eastAsia" w:cs="宋体" w:asciiTheme="minorEastAsia" w:hAnsiTheme="minorEastAsia"/>
          <w:color w:val="000000"/>
        </w:rPr>
        <w:t>报  价  表</w:t>
      </w:r>
    </w:p>
    <w:p w14:paraId="104B8629">
      <w:pPr>
        <w:pStyle w:val="13"/>
        <w:widowControl/>
        <w:spacing w:beforeAutospacing="0" w:afterAutospacing="0" w:line="360" w:lineRule="auto"/>
        <w:rPr>
          <w:rFonts w:hint="eastAsia" w:asciiTheme="minorEastAsia" w:hAnsiTheme="minorEastAsia"/>
        </w:rPr>
      </w:pPr>
      <w:r>
        <w:rPr>
          <w:rFonts w:hint="eastAsia" w:cs="宋体" w:asciiTheme="minorEastAsia" w:hAnsiTheme="minorEastAsia"/>
          <w:color w:val="000000"/>
        </w:rPr>
        <w:t>采购项目名称:</w:t>
      </w:r>
      <w:r>
        <w:rPr>
          <w:rFonts w:hint="eastAsia" w:cs="宋体" w:asciiTheme="minorEastAsia" w:hAnsiTheme="minorEastAsia"/>
          <w:color w:val="000000"/>
          <w:u w:val="single"/>
        </w:rPr>
        <w:t>业主码头收费系统数据整理服务</w:t>
      </w:r>
      <w:r>
        <w:rPr>
          <w:rFonts w:hint="eastAsia" w:cs="宋体" w:asciiTheme="minorEastAsia" w:hAnsiTheme="minorEastAsia"/>
          <w:color w:val="000000"/>
        </w:rPr>
        <w:t>   </w:t>
      </w:r>
    </w:p>
    <w:p w14:paraId="3C669C53">
      <w:pPr>
        <w:pStyle w:val="13"/>
        <w:widowControl/>
        <w:spacing w:beforeAutospacing="0" w:afterAutospacing="0" w:line="360" w:lineRule="auto"/>
        <w:rPr>
          <w:rFonts w:hint="eastAsia" w:cs="宋体" w:asciiTheme="minorEastAsia" w:hAnsiTheme="minorEastAsia"/>
          <w:u w:val="single"/>
        </w:rPr>
      </w:pPr>
      <w:r>
        <w:rPr>
          <w:rFonts w:hint="eastAsia" w:cs="宋体" w:asciiTheme="minorEastAsia" w:hAnsiTheme="minorEastAsia"/>
          <w:color w:val="000000"/>
          <w:spacing w:val="15"/>
        </w:rPr>
        <w:t>采购单位</w:t>
      </w:r>
      <w:r>
        <w:rPr>
          <w:rFonts w:hint="eastAsia" w:cs="宋体" w:asciiTheme="minorEastAsia" w:hAnsiTheme="minorEastAsia"/>
          <w:color w:val="000000"/>
        </w:rPr>
        <w:t>：</w:t>
      </w:r>
      <w:r>
        <w:rPr>
          <w:rFonts w:hint="eastAsia" w:cs="宋体" w:asciiTheme="minorEastAsia" w:hAnsiTheme="minorEastAsia"/>
          <w:u w:val="single"/>
        </w:rPr>
        <w:t>广西壮族自治区</w:t>
      </w:r>
      <w:r>
        <w:rPr>
          <w:rFonts w:hint="eastAsia" w:cs="宋体" w:asciiTheme="minorEastAsia" w:hAnsiTheme="minorEastAsia"/>
          <w:u w:val="single"/>
          <w:lang w:eastAsia="zh-CN"/>
        </w:rPr>
        <w:t>水运</w:t>
      </w:r>
      <w:r>
        <w:rPr>
          <w:rFonts w:hint="eastAsia" w:cs="宋体" w:asciiTheme="minorEastAsia" w:hAnsiTheme="minorEastAsia"/>
          <w:u w:val="single"/>
        </w:rPr>
        <w:t>发展中心</w:t>
      </w:r>
    </w:p>
    <w:p w14:paraId="4787F64A">
      <w:pPr>
        <w:pStyle w:val="13"/>
        <w:widowControl/>
        <w:spacing w:beforeAutospacing="0" w:afterAutospacing="0" w:line="360" w:lineRule="auto"/>
        <w:rPr>
          <w:rFonts w:hint="eastAsia" w:asciiTheme="minorEastAsia" w:hAnsiTheme="minorEastAsia"/>
        </w:rPr>
      </w:pPr>
      <w:r>
        <w:rPr>
          <w:rFonts w:hint="eastAsia" w:cs="宋体" w:asciiTheme="minorEastAsia" w:hAnsiTheme="minorEastAsia"/>
          <w:color w:val="000000"/>
          <w:spacing w:val="30"/>
        </w:rPr>
        <w:t>分标段：</w:t>
      </w:r>
      <w:r>
        <w:rPr>
          <w:rFonts w:hint="eastAsia" w:cs="宋体" w:asciiTheme="minorEastAsia" w:hAnsiTheme="minorEastAsia"/>
          <w:color w:val="000000"/>
          <w:u w:val="single"/>
        </w:rPr>
        <w:t xml:space="preserve">                   </w:t>
      </w:r>
    </w:p>
    <w:p w14:paraId="4600626E">
      <w:pPr>
        <w:pStyle w:val="13"/>
        <w:widowControl/>
        <w:spacing w:beforeAutospacing="0" w:afterAutospacing="0" w:line="360" w:lineRule="auto"/>
        <w:ind w:right="420" w:firstLine="645"/>
        <w:rPr>
          <w:rFonts w:hint="eastAsia" w:asciiTheme="minorEastAsia" w:hAnsiTheme="minorEastAsia"/>
        </w:rPr>
      </w:pPr>
      <w:r>
        <w:rPr>
          <w:rFonts w:hint="eastAsia" w:cs="宋体" w:asciiTheme="minorEastAsia" w:hAnsiTheme="minorEastAsia"/>
          <w:color w:val="000000"/>
        </w:rPr>
        <w:t>单位：元</w:t>
      </w:r>
    </w:p>
    <w:tbl>
      <w:tblPr>
        <w:tblStyle w:val="14"/>
        <w:tblW w:w="8521" w:type="dxa"/>
        <w:jc w:val="center"/>
        <w:tblCellSpacing w:w="0" w:type="dxa"/>
        <w:tblLayout w:type="autofit"/>
        <w:tblCellMar>
          <w:top w:w="0" w:type="dxa"/>
          <w:left w:w="0" w:type="dxa"/>
          <w:bottom w:w="0" w:type="dxa"/>
          <w:right w:w="0" w:type="dxa"/>
        </w:tblCellMar>
      </w:tblPr>
      <w:tblGrid>
        <w:gridCol w:w="1158"/>
        <w:gridCol w:w="3112"/>
        <w:gridCol w:w="3112"/>
        <w:gridCol w:w="1139"/>
      </w:tblGrid>
      <w:tr w14:paraId="41416EAB">
        <w:tblPrEx>
          <w:tblCellMar>
            <w:top w:w="0" w:type="dxa"/>
            <w:left w:w="0" w:type="dxa"/>
            <w:bottom w:w="0" w:type="dxa"/>
            <w:right w:w="0" w:type="dxa"/>
          </w:tblCellMar>
        </w:tblPrEx>
        <w:trPr>
          <w:tblHeader/>
          <w:tblCellSpacing w:w="0" w:type="dxa"/>
          <w:jc w:val="center"/>
        </w:trPr>
        <w:tc>
          <w:tcPr>
            <w:tcW w:w="1158" w:type="dxa"/>
            <w:tcBorders>
              <w:top w:val="single" w:color="auto" w:sz="12" w:space="0"/>
              <w:left w:val="single" w:color="auto" w:sz="12" w:space="0"/>
              <w:bottom w:val="single" w:color="auto" w:sz="6" w:space="0"/>
              <w:right w:val="single" w:color="auto" w:sz="6" w:space="0"/>
            </w:tcBorders>
            <w:tcMar>
              <w:left w:w="105" w:type="dxa"/>
              <w:right w:w="105" w:type="dxa"/>
            </w:tcMar>
            <w:vAlign w:val="center"/>
          </w:tcPr>
          <w:p w14:paraId="17CCDEDE">
            <w:pPr>
              <w:pStyle w:val="13"/>
              <w:widowControl/>
              <w:snapToGrid w:val="0"/>
              <w:spacing w:beforeAutospacing="0" w:afterAutospacing="0" w:line="360" w:lineRule="auto"/>
              <w:jc w:val="center"/>
              <w:rPr>
                <w:rFonts w:hint="eastAsia" w:asciiTheme="minorEastAsia" w:hAnsiTheme="minorEastAsia"/>
                <w:b/>
              </w:rPr>
            </w:pPr>
            <w:r>
              <w:rPr>
                <w:rStyle w:val="16"/>
                <w:rFonts w:hint="eastAsia" w:cs="宋体" w:asciiTheme="minorEastAsia" w:hAnsiTheme="minorEastAsia"/>
              </w:rPr>
              <w:t>序号</w:t>
            </w:r>
          </w:p>
        </w:tc>
        <w:tc>
          <w:tcPr>
            <w:tcW w:w="3112" w:type="dxa"/>
            <w:tcBorders>
              <w:top w:val="single" w:color="auto" w:sz="12" w:space="0"/>
              <w:left w:val="nil"/>
              <w:bottom w:val="single" w:color="auto" w:sz="6" w:space="0"/>
              <w:right w:val="single" w:color="auto" w:sz="6" w:space="0"/>
            </w:tcBorders>
            <w:tcMar>
              <w:left w:w="105" w:type="dxa"/>
              <w:right w:w="105" w:type="dxa"/>
            </w:tcMar>
            <w:vAlign w:val="center"/>
          </w:tcPr>
          <w:p w14:paraId="298EBA60">
            <w:pPr>
              <w:pStyle w:val="13"/>
              <w:widowControl/>
              <w:snapToGrid w:val="0"/>
              <w:spacing w:beforeAutospacing="0" w:afterAutospacing="0" w:line="360" w:lineRule="auto"/>
              <w:jc w:val="center"/>
              <w:rPr>
                <w:rFonts w:hint="eastAsia" w:asciiTheme="minorEastAsia" w:hAnsiTheme="minorEastAsia"/>
                <w:b/>
              </w:rPr>
            </w:pPr>
            <w:r>
              <w:rPr>
                <w:rStyle w:val="16"/>
                <w:rFonts w:hint="eastAsia" w:cs="宋体" w:asciiTheme="minorEastAsia" w:hAnsiTheme="minorEastAsia"/>
              </w:rPr>
              <w:t>项     目</w:t>
            </w:r>
          </w:p>
        </w:tc>
        <w:tc>
          <w:tcPr>
            <w:tcW w:w="3112" w:type="dxa"/>
            <w:tcBorders>
              <w:top w:val="single" w:color="auto" w:sz="12" w:space="0"/>
              <w:left w:val="nil"/>
              <w:bottom w:val="single" w:color="auto" w:sz="6" w:space="0"/>
              <w:right w:val="single" w:color="auto" w:sz="6" w:space="0"/>
            </w:tcBorders>
            <w:tcMar>
              <w:left w:w="105" w:type="dxa"/>
              <w:right w:w="105" w:type="dxa"/>
            </w:tcMar>
            <w:vAlign w:val="center"/>
          </w:tcPr>
          <w:p w14:paraId="6390B28A">
            <w:pPr>
              <w:pStyle w:val="13"/>
              <w:widowControl/>
              <w:snapToGrid w:val="0"/>
              <w:spacing w:beforeAutospacing="0" w:afterAutospacing="0" w:line="360" w:lineRule="auto"/>
              <w:jc w:val="center"/>
              <w:rPr>
                <w:rFonts w:hint="eastAsia" w:asciiTheme="minorEastAsia" w:hAnsiTheme="minorEastAsia"/>
                <w:b/>
              </w:rPr>
            </w:pPr>
            <w:r>
              <w:rPr>
                <w:rStyle w:val="16"/>
                <w:rFonts w:hint="eastAsia" w:cs="宋体" w:asciiTheme="minorEastAsia" w:hAnsiTheme="minorEastAsia"/>
              </w:rPr>
              <w:t>费用合计（元）</w:t>
            </w:r>
          </w:p>
        </w:tc>
        <w:tc>
          <w:tcPr>
            <w:tcW w:w="1139" w:type="dxa"/>
            <w:tcBorders>
              <w:top w:val="single" w:color="auto" w:sz="12" w:space="0"/>
              <w:left w:val="nil"/>
              <w:bottom w:val="single" w:color="auto" w:sz="6" w:space="0"/>
              <w:right w:val="single" w:color="auto" w:sz="12" w:space="0"/>
            </w:tcBorders>
            <w:tcMar>
              <w:left w:w="105" w:type="dxa"/>
              <w:right w:w="105" w:type="dxa"/>
            </w:tcMar>
            <w:vAlign w:val="center"/>
          </w:tcPr>
          <w:p w14:paraId="411E44C7">
            <w:pPr>
              <w:pStyle w:val="13"/>
              <w:widowControl/>
              <w:snapToGrid w:val="0"/>
              <w:spacing w:beforeAutospacing="0" w:afterAutospacing="0" w:line="360" w:lineRule="auto"/>
              <w:jc w:val="center"/>
              <w:rPr>
                <w:rFonts w:hint="eastAsia" w:asciiTheme="minorEastAsia" w:hAnsiTheme="minorEastAsia"/>
                <w:b/>
              </w:rPr>
            </w:pPr>
            <w:r>
              <w:rPr>
                <w:rStyle w:val="16"/>
                <w:rFonts w:hint="eastAsia" w:cs="宋体" w:asciiTheme="minorEastAsia" w:hAnsiTheme="minorEastAsia"/>
              </w:rPr>
              <w:t>备注</w:t>
            </w:r>
          </w:p>
        </w:tc>
      </w:tr>
      <w:tr w14:paraId="2015A055">
        <w:tblPrEx>
          <w:tblCellMar>
            <w:top w:w="0" w:type="dxa"/>
            <w:left w:w="0" w:type="dxa"/>
            <w:bottom w:w="0" w:type="dxa"/>
            <w:right w:w="0" w:type="dxa"/>
          </w:tblCellMar>
        </w:tblPrEx>
        <w:trPr>
          <w:tblCellSpacing w:w="0" w:type="dxa"/>
          <w:jc w:val="center"/>
        </w:trPr>
        <w:tc>
          <w:tcPr>
            <w:tcW w:w="1158" w:type="dxa"/>
            <w:tcBorders>
              <w:top w:val="nil"/>
              <w:left w:val="single" w:color="auto" w:sz="12" w:space="0"/>
              <w:bottom w:val="single" w:color="auto" w:sz="6" w:space="0"/>
              <w:right w:val="single" w:color="auto" w:sz="6" w:space="0"/>
            </w:tcBorders>
            <w:tcMar>
              <w:left w:w="105" w:type="dxa"/>
              <w:right w:w="105" w:type="dxa"/>
            </w:tcMar>
            <w:vAlign w:val="center"/>
          </w:tcPr>
          <w:p w14:paraId="063F70F0">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4ADC605C">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0369739B">
            <w:pPr>
              <w:widowControl/>
              <w:snapToGrid w:val="0"/>
              <w:spacing w:line="360" w:lineRule="auto"/>
              <w:jc w:val="center"/>
              <w:rPr>
                <w:rFonts w:hint="eastAsia" w:asciiTheme="minorEastAsia" w:hAnsiTheme="minorEastAsia"/>
                <w:sz w:val="24"/>
              </w:rPr>
            </w:pPr>
          </w:p>
        </w:tc>
        <w:tc>
          <w:tcPr>
            <w:tcW w:w="1139" w:type="dxa"/>
            <w:tcBorders>
              <w:top w:val="nil"/>
              <w:left w:val="nil"/>
              <w:bottom w:val="single" w:color="auto" w:sz="6" w:space="0"/>
              <w:right w:val="single" w:color="auto" w:sz="12" w:space="0"/>
            </w:tcBorders>
            <w:tcMar>
              <w:left w:w="105" w:type="dxa"/>
              <w:right w:w="105" w:type="dxa"/>
            </w:tcMar>
            <w:vAlign w:val="center"/>
          </w:tcPr>
          <w:p w14:paraId="7F84AE0A">
            <w:pPr>
              <w:widowControl/>
              <w:snapToGrid w:val="0"/>
              <w:spacing w:line="360" w:lineRule="auto"/>
              <w:jc w:val="center"/>
              <w:rPr>
                <w:rFonts w:hint="eastAsia" w:asciiTheme="minorEastAsia" w:hAnsiTheme="minorEastAsia"/>
                <w:sz w:val="24"/>
              </w:rPr>
            </w:pPr>
          </w:p>
        </w:tc>
      </w:tr>
      <w:tr w14:paraId="225A45C2">
        <w:tblPrEx>
          <w:tblCellMar>
            <w:top w:w="0" w:type="dxa"/>
            <w:left w:w="0" w:type="dxa"/>
            <w:bottom w:w="0" w:type="dxa"/>
            <w:right w:w="0" w:type="dxa"/>
          </w:tblCellMar>
        </w:tblPrEx>
        <w:trPr>
          <w:tblCellSpacing w:w="0" w:type="dxa"/>
          <w:jc w:val="center"/>
        </w:trPr>
        <w:tc>
          <w:tcPr>
            <w:tcW w:w="1158" w:type="dxa"/>
            <w:tcBorders>
              <w:top w:val="nil"/>
              <w:left w:val="single" w:color="auto" w:sz="12" w:space="0"/>
              <w:bottom w:val="single" w:color="auto" w:sz="6" w:space="0"/>
              <w:right w:val="single" w:color="auto" w:sz="6" w:space="0"/>
            </w:tcBorders>
            <w:tcMar>
              <w:left w:w="105" w:type="dxa"/>
              <w:right w:w="105" w:type="dxa"/>
            </w:tcMar>
            <w:vAlign w:val="center"/>
          </w:tcPr>
          <w:p w14:paraId="78B4A987">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45D89947">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217D0EBD">
            <w:pPr>
              <w:widowControl/>
              <w:snapToGrid w:val="0"/>
              <w:spacing w:line="360" w:lineRule="auto"/>
              <w:jc w:val="center"/>
              <w:rPr>
                <w:rFonts w:hint="eastAsia" w:asciiTheme="minorEastAsia" w:hAnsiTheme="minorEastAsia"/>
                <w:sz w:val="24"/>
              </w:rPr>
            </w:pPr>
          </w:p>
        </w:tc>
        <w:tc>
          <w:tcPr>
            <w:tcW w:w="1139" w:type="dxa"/>
            <w:tcBorders>
              <w:top w:val="nil"/>
              <w:left w:val="nil"/>
              <w:bottom w:val="single" w:color="auto" w:sz="6" w:space="0"/>
              <w:right w:val="single" w:color="auto" w:sz="12" w:space="0"/>
            </w:tcBorders>
            <w:tcMar>
              <w:left w:w="105" w:type="dxa"/>
              <w:right w:w="105" w:type="dxa"/>
            </w:tcMar>
            <w:vAlign w:val="center"/>
          </w:tcPr>
          <w:p w14:paraId="55AB293F">
            <w:pPr>
              <w:widowControl/>
              <w:snapToGrid w:val="0"/>
              <w:spacing w:line="360" w:lineRule="auto"/>
              <w:jc w:val="center"/>
              <w:rPr>
                <w:rFonts w:hint="eastAsia" w:asciiTheme="minorEastAsia" w:hAnsiTheme="minorEastAsia"/>
                <w:sz w:val="24"/>
              </w:rPr>
            </w:pPr>
          </w:p>
        </w:tc>
      </w:tr>
      <w:tr w14:paraId="2409FC96">
        <w:tblPrEx>
          <w:tblCellMar>
            <w:top w:w="0" w:type="dxa"/>
            <w:left w:w="0" w:type="dxa"/>
            <w:bottom w:w="0" w:type="dxa"/>
            <w:right w:w="0" w:type="dxa"/>
          </w:tblCellMar>
        </w:tblPrEx>
        <w:trPr>
          <w:tblCellSpacing w:w="0" w:type="dxa"/>
          <w:jc w:val="center"/>
        </w:trPr>
        <w:tc>
          <w:tcPr>
            <w:tcW w:w="1158" w:type="dxa"/>
            <w:tcBorders>
              <w:top w:val="nil"/>
              <w:left w:val="single" w:color="auto" w:sz="12" w:space="0"/>
              <w:bottom w:val="single" w:color="auto" w:sz="6" w:space="0"/>
              <w:right w:val="single" w:color="auto" w:sz="6" w:space="0"/>
            </w:tcBorders>
            <w:tcMar>
              <w:left w:w="105" w:type="dxa"/>
              <w:right w:w="105" w:type="dxa"/>
            </w:tcMar>
            <w:vAlign w:val="center"/>
          </w:tcPr>
          <w:p w14:paraId="7C32DE38">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4683F3C5">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4F2B95EC">
            <w:pPr>
              <w:widowControl/>
              <w:snapToGrid w:val="0"/>
              <w:spacing w:line="360" w:lineRule="auto"/>
              <w:jc w:val="center"/>
              <w:rPr>
                <w:rFonts w:hint="eastAsia" w:asciiTheme="minorEastAsia" w:hAnsiTheme="minorEastAsia"/>
                <w:sz w:val="24"/>
              </w:rPr>
            </w:pPr>
          </w:p>
        </w:tc>
        <w:tc>
          <w:tcPr>
            <w:tcW w:w="1139" w:type="dxa"/>
            <w:tcBorders>
              <w:top w:val="nil"/>
              <w:left w:val="nil"/>
              <w:bottom w:val="single" w:color="auto" w:sz="6" w:space="0"/>
              <w:right w:val="single" w:color="auto" w:sz="12" w:space="0"/>
            </w:tcBorders>
            <w:tcMar>
              <w:left w:w="105" w:type="dxa"/>
              <w:right w:w="105" w:type="dxa"/>
            </w:tcMar>
            <w:vAlign w:val="center"/>
          </w:tcPr>
          <w:p w14:paraId="562351E7">
            <w:pPr>
              <w:widowControl/>
              <w:snapToGrid w:val="0"/>
              <w:spacing w:line="360" w:lineRule="auto"/>
              <w:jc w:val="center"/>
              <w:rPr>
                <w:rFonts w:hint="eastAsia" w:asciiTheme="minorEastAsia" w:hAnsiTheme="minorEastAsia"/>
                <w:sz w:val="24"/>
              </w:rPr>
            </w:pPr>
          </w:p>
        </w:tc>
      </w:tr>
      <w:tr w14:paraId="2B6650DC">
        <w:tblPrEx>
          <w:tblCellMar>
            <w:top w:w="0" w:type="dxa"/>
            <w:left w:w="0" w:type="dxa"/>
            <w:bottom w:w="0" w:type="dxa"/>
            <w:right w:w="0" w:type="dxa"/>
          </w:tblCellMar>
        </w:tblPrEx>
        <w:trPr>
          <w:tblCellSpacing w:w="0" w:type="dxa"/>
          <w:jc w:val="center"/>
        </w:trPr>
        <w:tc>
          <w:tcPr>
            <w:tcW w:w="1158" w:type="dxa"/>
            <w:tcBorders>
              <w:top w:val="nil"/>
              <w:left w:val="single" w:color="auto" w:sz="12" w:space="0"/>
              <w:bottom w:val="single" w:color="auto" w:sz="6" w:space="0"/>
              <w:right w:val="single" w:color="auto" w:sz="6" w:space="0"/>
            </w:tcBorders>
            <w:tcMar>
              <w:left w:w="105" w:type="dxa"/>
              <w:right w:w="105" w:type="dxa"/>
            </w:tcMar>
            <w:vAlign w:val="center"/>
          </w:tcPr>
          <w:p w14:paraId="2E2BCF06">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61B1EC6C">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01C7E3DF">
            <w:pPr>
              <w:widowControl/>
              <w:snapToGrid w:val="0"/>
              <w:spacing w:line="360" w:lineRule="auto"/>
              <w:jc w:val="center"/>
              <w:rPr>
                <w:rFonts w:hint="eastAsia" w:asciiTheme="minorEastAsia" w:hAnsiTheme="minorEastAsia"/>
                <w:sz w:val="24"/>
              </w:rPr>
            </w:pPr>
          </w:p>
        </w:tc>
        <w:tc>
          <w:tcPr>
            <w:tcW w:w="1139" w:type="dxa"/>
            <w:tcBorders>
              <w:top w:val="nil"/>
              <w:left w:val="nil"/>
              <w:bottom w:val="single" w:color="auto" w:sz="6" w:space="0"/>
              <w:right w:val="single" w:color="auto" w:sz="12" w:space="0"/>
            </w:tcBorders>
            <w:tcMar>
              <w:left w:w="105" w:type="dxa"/>
              <w:right w:w="105" w:type="dxa"/>
            </w:tcMar>
            <w:vAlign w:val="center"/>
          </w:tcPr>
          <w:p w14:paraId="6C7DA66B">
            <w:pPr>
              <w:widowControl/>
              <w:snapToGrid w:val="0"/>
              <w:spacing w:line="360" w:lineRule="auto"/>
              <w:jc w:val="center"/>
              <w:rPr>
                <w:rFonts w:hint="eastAsia" w:asciiTheme="minorEastAsia" w:hAnsiTheme="minorEastAsia"/>
                <w:sz w:val="24"/>
              </w:rPr>
            </w:pPr>
          </w:p>
        </w:tc>
      </w:tr>
      <w:tr w14:paraId="3551F203">
        <w:tblPrEx>
          <w:tblCellMar>
            <w:top w:w="0" w:type="dxa"/>
            <w:left w:w="0" w:type="dxa"/>
            <w:bottom w:w="0" w:type="dxa"/>
            <w:right w:w="0" w:type="dxa"/>
          </w:tblCellMar>
        </w:tblPrEx>
        <w:trPr>
          <w:tblCellSpacing w:w="0" w:type="dxa"/>
          <w:jc w:val="center"/>
        </w:trPr>
        <w:tc>
          <w:tcPr>
            <w:tcW w:w="1158" w:type="dxa"/>
            <w:tcBorders>
              <w:top w:val="nil"/>
              <w:left w:val="single" w:color="auto" w:sz="12" w:space="0"/>
              <w:bottom w:val="single" w:color="auto" w:sz="6" w:space="0"/>
              <w:right w:val="single" w:color="auto" w:sz="6" w:space="0"/>
            </w:tcBorders>
            <w:tcMar>
              <w:left w:w="105" w:type="dxa"/>
              <w:right w:w="105" w:type="dxa"/>
            </w:tcMar>
            <w:vAlign w:val="center"/>
          </w:tcPr>
          <w:p w14:paraId="0F38C764">
            <w:pPr>
              <w:widowControl/>
              <w:snapToGrid w:val="0"/>
              <w:spacing w:line="360" w:lineRule="auto"/>
              <w:jc w:val="center"/>
              <w:rPr>
                <w:rFonts w:hint="eastAsia" w:asciiTheme="minorEastAsia" w:hAnsiTheme="minorEastAsia"/>
                <w:sz w:val="24"/>
              </w:rPr>
            </w:pPr>
          </w:p>
        </w:tc>
        <w:tc>
          <w:tcPr>
            <w:tcW w:w="3112" w:type="dxa"/>
            <w:tcBorders>
              <w:top w:val="nil"/>
              <w:left w:val="nil"/>
              <w:bottom w:val="single" w:color="auto" w:sz="6" w:space="0"/>
              <w:right w:val="single" w:color="auto" w:sz="6" w:space="0"/>
            </w:tcBorders>
            <w:tcMar>
              <w:left w:w="105" w:type="dxa"/>
              <w:right w:w="105" w:type="dxa"/>
            </w:tcMar>
            <w:vAlign w:val="center"/>
          </w:tcPr>
          <w:p w14:paraId="1045F50A">
            <w:pPr>
              <w:pStyle w:val="13"/>
              <w:widowControl/>
              <w:snapToGrid w:val="0"/>
              <w:spacing w:beforeAutospacing="0" w:afterAutospacing="0" w:line="360" w:lineRule="auto"/>
              <w:jc w:val="center"/>
              <w:rPr>
                <w:rFonts w:hint="eastAsia" w:asciiTheme="minorEastAsia" w:hAnsiTheme="minorEastAsia"/>
              </w:rPr>
            </w:pPr>
            <w:r>
              <w:rPr>
                <w:rStyle w:val="16"/>
                <w:rFonts w:hint="eastAsia" w:cs="宋体" w:asciiTheme="minorEastAsia" w:hAnsiTheme="minorEastAsia"/>
              </w:rPr>
              <w:t>竞标报价总计</w:t>
            </w:r>
          </w:p>
        </w:tc>
        <w:tc>
          <w:tcPr>
            <w:tcW w:w="3112" w:type="dxa"/>
            <w:tcBorders>
              <w:top w:val="nil"/>
              <w:left w:val="nil"/>
              <w:bottom w:val="single" w:color="auto" w:sz="6" w:space="0"/>
              <w:right w:val="single" w:color="auto" w:sz="6" w:space="0"/>
            </w:tcBorders>
            <w:tcMar>
              <w:left w:w="105" w:type="dxa"/>
              <w:right w:w="105" w:type="dxa"/>
            </w:tcMar>
            <w:vAlign w:val="center"/>
          </w:tcPr>
          <w:p w14:paraId="66D62C77">
            <w:pPr>
              <w:widowControl/>
              <w:snapToGrid w:val="0"/>
              <w:spacing w:line="360" w:lineRule="auto"/>
              <w:jc w:val="center"/>
              <w:rPr>
                <w:rFonts w:hint="eastAsia" w:asciiTheme="minorEastAsia" w:hAnsiTheme="minorEastAsia"/>
                <w:sz w:val="24"/>
              </w:rPr>
            </w:pPr>
          </w:p>
        </w:tc>
        <w:tc>
          <w:tcPr>
            <w:tcW w:w="1139" w:type="dxa"/>
            <w:tcBorders>
              <w:top w:val="nil"/>
              <w:left w:val="nil"/>
              <w:bottom w:val="single" w:color="auto" w:sz="6" w:space="0"/>
              <w:right w:val="single" w:color="auto" w:sz="12" w:space="0"/>
            </w:tcBorders>
            <w:tcMar>
              <w:left w:w="105" w:type="dxa"/>
              <w:right w:w="105" w:type="dxa"/>
            </w:tcMar>
            <w:vAlign w:val="center"/>
          </w:tcPr>
          <w:p w14:paraId="4174B509">
            <w:pPr>
              <w:widowControl/>
              <w:snapToGrid w:val="0"/>
              <w:spacing w:line="360" w:lineRule="auto"/>
              <w:jc w:val="center"/>
              <w:rPr>
                <w:rFonts w:hint="eastAsia" w:asciiTheme="minorEastAsia" w:hAnsiTheme="minorEastAsia"/>
                <w:sz w:val="24"/>
              </w:rPr>
            </w:pPr>
          </w:p>
        </w:tc>
      </w:tr>
    </w:tbl>
    <w:p w14:paraId="23BE2B78">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 </w:t>
      </w:r>
    </w:p>
    <w:p w14:paraId="51964DEB">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注：1、所有价格均用人民币表示，单位为元，精确到个数位。</w:t>
      </w:r>
    </w:p>
    <w:p w14:paraId="0E381A79">
      <w:pPr>
        <w:pStyle w:val="13"/>
        <w:widowControl/>
        <w:spacing w:beforeAutospacing="0" w:afterAutospacing="0" w:line="360" w:lineRule="auto"/>
        <w:ind w:firstLine="960" w:firstLineChars="400"/>
        <w:rPr>
          <w:rFonts w:hint="eastAsia" w:asciiTheme="minorEastAsia" w:hAnsiTheme="minorEastAsia"/>
        </w:rPr>
      </w:pPr>
      <w:r>
        <w:rPr>
          <w:rFonts w:hint="eastAsia" w:cs="宋体" w:asciiTheme="minorEastAsia" w:hAnsiTheme="minorEastAsia"/>
          <w:color w:val="000000"/>
        </w:rPr>
        <w:t>2、报价指服务费、设备费、管理费、验收费、利润、税金及其它所有成本、费用的总和。</w:t>
      </w:r>
    </w:p>
    <w:p w14:paraId="195C4F3A">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 </w:t>
      </w:r>
    </w:p>
    <w:p w14:paraId="0558318D">
      <w:pPr>
        <w:pStyle w:val="13"/>
        <w:overflowPunct w:val="0"/>
        <w:adjustRightInd w:val="0"/>
        <w:snapToGrid w:val="0"/>
        <w:spacing w:beforeAutospacing="0" w:afterAutospacing="0" w:line="360" w:lineRule="auto"/>
        <w:rPr>
          <w:rFonts w:hint="eastAsia" w:cs="宋体" w:asciiTheme="minorEastAsia" w:hAnsiTheme="minorEastAsia"/>
          <w:color w:val="000000"/>
          <w:u w:val="single"/>
        </w:rPr>
      </w:pPr>
      <w:r>
        <w:rPr>
          <w:rFonts w:hint="eastAsia" w:cs="宋体" w:asciiTheme="minorEastAsia" w:hAnsiTheme="minorEastAsia"/>
          <w:color w:val="000000"/>
        </w:rPr>
        <w:t>法定代表人或法定代表人授权代表（签字或签章）:</w:t>
      </w:r>
      <w:r>
        <w:rPr>
          <w:rFonts w:hint="eastAsia" w:cs="宋体" w:asciiTheme="minorEastAsia" w:hAnsiTheme="minorEastAsia"/>
          <w:color w:val="000000"/>
          <w:u w:val="single"/>
        </w:rPr>
        <w:t xml:space="preserve">                   </w:t>
      </w:r>
    </w:p>
    <w:p w14:paraId="23719AA8">
      <w:pPr>
        <w:pStyle w:val="13"/>
        <w:overflowPunct w:val="0"/>
        <w:adjustRightInd w:val="0"/>
        <w:snapToGrid w:val="0"/>
        <w:spacing w:beforeAutospacing="0" w:afterAutospacing="0" w:line="360" w:lineRule="auto"/>
        <w:rPr>
          <w:rFonts w:hint="eastAsia" w:cs="宋体" w:asciiTheme="minorEastAsia" w:hAnsiTheme="minorEastAsia"/>
          <w:color w:val="000000"/>
        </w:rPr>
      </w:pPr>
    </w:p>
    <w:p w14:paraId="5846EDDB">
      <w:pPr>
        <w:pStyle w:val="13"/>
        <w:overflowPunct w:val="0"/>
        <w:adjustRightInd w:val="0"/>
        <w:snapToGrid w:val="0"/>
        <w:spacing w:beforeAutospacing="0" w:afterAutospacing="0" w:line="360" w:lineRule="auto"/>
        <w:rPr>
          <w:rFonts w:hint="eastAsia" w:cs="宋体" w:asciiTheme="minorEastAsia" w:hAnsiTheme="minorEastAsia"/>
          <w:color w:val="000000"/>
          <w:u w:val="single"/>
        </w:rPr>
      </w:pPr>
      <w:r>
        <w:rPr>
          <w:rFonts w:hint="eastAsia" w:cs="宋体" w:asciiTheme="minorEastAsia" w:hAnsiTheme="minorEastAsia"/>
          <w:color w:val="000000"/>
        </w:rPr>
        <w:t>供应商名称（盖章）：</w:t>
      </w:r>
      <w:r>
        <w:rPr>
          <w:rFonts w:hint="eastAsia" w:cs="宋体" w:asciiTheme="minorEastAsia" w:hAnsiTheme="minorEastAsia"/>
          <w:color w:val="000000"/>
          <w:u w:val="single"/>
        </w:rPr>
        <w:t xml:space="preserve">                                       </w:t>
      </w:r>
    </w:p>
    <w:p w14:paraId="341FC7B2">
      <w:pPr>
        <w:pStyle w:val="13"/>
        <w:overflowPunct w:val="0"/>
        <w:adjustRightInd w:val="0"/>
        <w:snapToGrid w:val="0"/>
        <w:spacing w:beforeAutospacing="0" w:afterAutospacing="0" w:line="360" w:lineRule="auto"/>
        <w:rPr>
          <w:rFonts w:hint="eastAsia" w:cs="宋体" w:asciiTheme="minorEastAsia" w:hAnsiTheme="minorEastAsia"/>
          <w:color w:val="000000"/>
        </w:rPr>
      </w:pPr>
    </w:p>
    <w:p w14:paraId="423CC909">
      <w:pPr>
        <w:pStyle w:val="13"/>
        <w:overflowPunct w:val="0"/>
        <w:adjustRightInd w:val="0"/>
        <w:snapToGrid w:val="0"/>
        <w:spacing w:beforeAutospacing="0" w:afterAutospacing="0" w:line="360" w:lineRule="auto"/>
        <w:rPr>
          <w:rFonts w:hint="eastAsia" w:cs="宋体" w:asciiTheme="minorEastAsia" w:hAnsiTheme="minorEastAsia"/>
          <w:color w:val="000000"/>
        </w:rPr>
      </w:pPr>
      <w:r>
        <w:rPr>
          <w:rFonts w:hint="eastAsia" w:cs="宋体" w:asciiTheme="minorEastAsia" w:hAnsiTheme="minorEastAsia"/>
          <w:color w:val="000000"/>
        </w:rPr>
        <w:t>报价时间：</w:t>
      </w:r>
      <w:r>
        <w:rPr>
          <w:rFonts w:hint="eastAsia" w:cs="宋体" w:asciiTheme="minorEastAsia" w:hAnsiTheme="minorEastAsia"/>
          <w:color w:val="000000"/>
          <w:u w:val="single"/>
        </w:rPr>
        <w:t>     </w:t>
      </w:r>
      <w:r>
        <w:rPr>
          <w:rFonts w:hint="eastAsia" w:cs="宋体" w:asciiTheme="minorEastAsia" w:hAnsiTheme="minorEastAsia"/>
          <w:color w:val="000000"/>
        </w:rPr>
        <w:t>年</w:t>
      </w:r>
      <w:r>
        <w:rPr>
          <w:rFonts w:hint="eastAsia" w:cs="宋体" w:asciiTheme="minorEastAsia" w:hAnsiTheme="minorEastAsia"/>
          <w:color w:val="000000"/>
          <w:u w:val="single"/>
        </w:rPr>
        <w:t>    </w:t>
      </w:r>
      <w:r>
        <w:rPr>
          <w:rFonts w:hint="eastAsia" w:cs="宋体" w:asciiTheme="minorEastAsia" w:hAnsiTheme="minorEastAsia"/>
          <w:color w:val="000000"/>
        </w:rPr>
        <w:t>月</w:t>
      </w:r>
      <w:r>
        <w:rPr>
          <w:rFonts w:hint="eastAsia" w:cs="宋体" w:asciiTheme="minorEastAsia" w:hAnsiTheme="minorEastAsia"/>
          <w:color w:val="000000"/>
          <w:u w:val="single"/>
        </w:rPr>
        <w:t>    </w:t>
      </w:r>
      <w:r>
        <w:rPr>
          <w:rFonts w:hint="eastAsia" w:cs="宋体" w:asciiTheme="minorEastAsia" w:hAnsiTheme="minorEastAsia"/>
          <w:color w:val="000000"/>
        </w:rPr>
        <w:t>日</w:t>
      </w:r>
    </w:p>
    <w:p w14:paraId="30F94226">
      <w:pPr>
        <w:pStyle w:val="13"/>
        <w:widowControl/>
        <w:spacing w:beforeAutospacing="0" w:afterAutospacing="0" w:line="360" w:lineRule="auto"/>
        <w:rPr>
          <w:rFonts w:hint="eastAsia" w:cs="宋体" w:asciiTheme="minorEastAsia" w:hAnsiTheme="minorEastAsia"/>
          <w:color w:val="000000"/>
        </w:rPr>
      </w:pPr>
    </w:p>
    <w:p w14:paraId="656B8A83">
      <w:pPr>
        <w:pStyle w:val="13"/>
        <w:widowControl/>
        <w:spacing w:beforeAutospacing="0" w:afterAutospacing="0" w:line="360" w:lineRule="auto"/>
        <w:rPr>
          <w:rFonts w:hint="eastAsia" w:cs="宋体" w:asciiTheme="minorEastAsia" w:hAnsiTheme="minorEastAsia"/>
          <w:color w:val="000000"/>
        </w:rPr>
      </w:pPr>
    </w:p>
    <w:p w14:paraId="69ADB434">
      <w:pPr>
        <w:pStyle w:val="13"/>
        <w:widowControl/>
        <w:spacing w:beforeAutospacing="0" w:afterAutospacing="0" w:line="360" w:lineRule="auto"/>
        <w:rPr>
          <w:rFonts w:hint="eastAsia" w:cs="宋体" w:asciiTheme="minorEastAsia" w:hAnsiTheme="minorEastAsia"/>
          <w:color w:val="000000"/>
        </w:rPr>
      </w:pPr>
    </w:p>
    <w:p w14:paraId="47E72F51">
      <w:pPr>
        <w:pStyle w:val="13"/>
        <w:widowControl/>
        <w:spacing w:beforeAutospacing="0" w:afterAutospacing="0" w:line="360" w:lineRule="auto"/>
        <w:rPr>
          <w:rFonts w:hint="eastAsia" w:cs="宋体" w:asciiTheme="minorEastAsia" w:hAnsiTheme="minorEastAsia"/>
          <w:color w:val="000000"/>
        </w:rPr>
      </w:pPr>
      <w:bookmarkStart w:id="92" w:name="_Toc30872"/>
    </w:p>
    <w:p w14:paraId="0B0F1D02">
      <w:pPr>
        <w:pStyle w:val="13"/>
        <w:widowControl/>
        <w:spacing w:beforeAutospacing="0" w:afterAutospacing="0" w:line="360" w:lineRule="auto"/>
        <w:rPr>
          <w:rFonts w:hint="eastAsia" w:cs="宋体" w:asciiTheme="minorEastAsia" w:hAnsiTheme="minorEastAsia"/>
          <w:color w:val="000000"/>
        </w:rPr>
      </w:pPr>
    </w:p>
    <w:p w14:paraId="5DD87C63">
      <w:pPr>
        <w:pStyle w:val="13"/>
        <w:widowControl/>
        <w:spacing w:beforeAutospacing="0" w:afterAutospacing="0" w:line="360" w:lineRule="auto"/>
        <w:rPr>
          <w:rFonts w:hint="eastAsia" w:cs="宋体" w:asciiTheme="minorEastAsia" w:hAnsiTheme="minorEastAsia"/>
          <w:color w:val="000000"/>
        </w:rPr>
      </w:pPr>
    </w:p>
    <w:p w14:paraId="5528D7AD">
      <w:pPr>
        <w:pStyle w:val="13"/>
        <w:widowControl/>
        <w:spacing w:beforeAutospacing="0" w:afterAutospacing="0" w:line="360" w:lineRule="auto"/>
        <w:rPr>
          <w:rFonts w:hint="eastAsia" w:asciiTheme="minorEastAsia" w:hAnsiTheme="minorEastAsia" w:eastAsiaTheme="minorEastAsia"/>
          <w:b/>
          <w:lang w:eastAsia="zh-CN"/>
        </w:rPr>
      </w:pPr>
      <w:r>
        <w:rPr>
          <w:rFonts w:hint="eastAsia" w:cs="宋体" w:asciiTheme="minorEastAsia" w:hAnsiTheme="minorEastAsia"/>
          <w:b/>
          <w:color w:val="000000"/>
        </w:rPr>
        <w:t>格式</w:t>
      </w:r>
      <w:bookmarkEnd w:id="92"/>
      <w:r>
        <w:rPr>
          <w:rFonts w:hint="eastAsia" w:cs="宋体" w:asciiTheme="minorEastAsia" w:hAnsiTheme="minorEastAsia"/>
          <w:b/>
          <w:color w:val="000000"/>
          <w:lang w:val="en-US" w:eastAsia="zh-CN"/>
        </w:rPr>
        <w:t>3</w:t>
      </w:r>
    </w:p>
    <w:p w14:paraId="1AE6EF67">
      <w:pPr>
        <w:pStyle w:val="13"/>
        <w:widowControl/>
        <w:spacing w:beforeAutospacing="0" w:afterAutospacing="0" w:line="360" w:lineRule="auto"/>
        <w:ind w:firstLine="645"/>
        <w:jc w:val="center"/>
        <w:rPr>
          <w:rFonts w:hint="eastAsia" w:asciiTheme="minorEastAsia" w:hAnsiTheme="minorEastAsia"/>
          <w:b/>
        </w:rPr>
      </w:pPr>
      <w:r>
        <w:rPr>
          <w:rStyle w:val="16"/>
          <w:rFonts w:hint="eastAsia" w:cs="宋体" w:asciiTheme="minorEastAsia" w:hAnsiTheme="minorEastAsia"/>
          <w:color w:val="000000"/>
        </w:rPr>
        <w:t>法定代表人授权书</w:t>
      </w:r>
    </w:p>
    <w:p w14:paraId="287AF6F2">
      <w:pPr>
        <w:pStyle w:val="13"/>
        <w:widowControl/>
        <w:spacing w:beforeAutospacing="0" w:afterAutospacing="0" w:line="360" w:lineRule="auto"/>
        <w:ind w:firstLine="645"/>
        <w:jc w:val="center"/>
        <w:rPr>
          <w:rFonts w:hint="eastAsia" w:cs="宋体" w:asciiTheme="minorEastAsia" w:hAnsiTheme="minorEastAsia"/>
          <w:b/>
          <w:color w:val="000000"/>
        </w:rPr>
      </w:pPr>
      <w:r>
        <w:rPr>
          <w:rStyle w:val="16"/>
          <w:rFonts w:hint="eastAsia" w:cs="宋体" w:asciiTheme="minorEastAsia" w:hAnsiTheme="minorEastAsia"/>
          <w:color w:val="000000"/>
        </w:rPr>
        <w:t>（如有委托时）</w:t>
      </w:r>
      <w:r>
        <w:rPr>
          <w:rFonts w:hint="eastAsia" w:cs="宋体" w:asciiTheme="minorEastAsia" w:hAnsiTheme="minorEastAsia"/>
          <w:b/>
          <w:color w:val="000000"/>
        </w:rPr>
        <w:t> </w:t>
      </w:r>
    </w:p>
    <w:p w14:paraId="1060620E">
      <w:pPr>
        <w:pStyle w:val="13"/>
        <w:widowControl/>
        <w:spacing w:beforeAutospacing="0" w:afterAutospacing="0" w:line="360" w:lineRule="auto"/>
        <w:rPr>
          <w:rFonts w:hint="eastAsia" w:asciiTheme="minorEastAsia" w:hAnsiTheme="minorEastAsia"/>
        </w:rPr>
      </w:pPr>
      <w:r>
        <w:rPr>
          <w:rFonts w:hint="eastAsia" w:cs="宋体" w:asciiTheme="minorEastAsia" w:hAnsiTheme="minorEastAsia"/>
          <w:color w:val="000000"/>
          <w:u w:val="single"/>
        </w:rPr>
        <w:t>广西壮族自治</w:t>
      </w:r>
      <w:r>
        <w:rPr>
          <w:rFonts w:hint="eastAsia" w:cs="宋体" w:asciiTheme="minorEastAsia" w:hAnsiTheme="minorEastAsia"/>
          <w:color w:val="000000"/>
          <w:u w:val="single"/>
          <w:lang w:eastAsia="zh-CN"/>
        </w:rPr>
        <w:t>区水运</w:t>
      </w:r>
      <w:r>
        <w:rPr>
          <w:rFonts w:hint="eastAsia" w:cs="宋体" w:asciiTheme="minorEastAsia" w:hAnsiTheme="minorEastAsia"/>
          <w:color w:val="000000"/>
          <w:u w:val="single"/>
        </w:rPr>
        <w:t>发展中心</w:t>
      </w:r>
      <w:r>
        <w:rPr>
          <w:rFonts w:hint="eastAsia" w:cs="宋体" w:asciiTheme="minorEastAsia" w:hAnsiTheme="minorEastAsia"/>
          <w:color w:val="000000"/>
        </w:rPr>
        <w:t>：</w:t>
      </w:r>
    </w:p>
    <w:p w14:paraId="5C9E7924">
      <w:pPr>
        <w:pStyle w:val="13"/>
        <w:overflowPunct w:val="0"/>
        <w:adjustRightInd w:val="0"/>
        <w:snapToGrid w:val="0"/>
        <w:spacing w:beforeAutospacing="0" w:afterAutospacing="0" w:line="360" w:lineRule="auto"/>
        <w:ind w:firstLine="480" w:firstLineChars="200"/>
        <w:rPr>
          <w:rFonts w:hint="eastAsia" w:cs="宋体" w:asciiTheme="minorEastAsia" w:hAnsiTheme="minorEastAsia"/>
          <w:color w:val="000000"/>
        </w:rPr>
      </w:pPr>
      <w:r>
        <w:rPr>
          <w:rFonts w:hint="eastAsia" w:cs="宋体" w:asciiTheme="minorEastAsia" w:hAnsiTheme="minorEastAsia"/>
          <w:color w:val="000000"/>
        </w:rPr>
        <w:t>本人</w:t>
      </w:r>
      <w:r>
        <w:rPr>
          <w:rFonts w:hint="eastAsia" w:cs="宋体" w:asciiTheme="minorEastAsia" w:hAnsiTheme="minorEastAsia"/>
          <w:color w:val="000000"/>
          <w:u w:val="single"/>
        </w:rPr>
        <w:t>    （姓名）   </w:t>
      </w:r>
      <w:r>
        <w:rPr>
          <w:rFonts w:hint="eastAsia" w:cs="宋体" w:asciiTheme="minorEastAsia" w:hAnsiTheme="minorEastAsia"/>
          <w:color w:val="000000"/>
        </w:rPr>
        <w:t> 系</w:t>
      </w:r>
      <w:r>
        <w:rPr>
          <w:rFonts w:hint="eastAsia" w:cs="宋体" w:asciiTheme="minorEastAsia" w:hAnsiTheme="minorEastAsia"/>
          <w:color w:val="000000"/>
          <w:u w:val="single"/>
        </w:rPr>
        <w:t>   （竞标人名称）  </w:t>
      </w:r>
      <w:r>
        <w:rPr>
          <w:rFonts w:hint="eastAsia" w:cs="宋体" w:asciiTheme="minorEastAsia" w:hAnsiTheme="minorEastAsia"/>
          <w:color w:val="000000"/>
        </w:rPr>
        <w:t>的法定代表人，现授权 </w:t>
      </w:r>
      <w:r>
        <w:rPr>
          <w:rFonts w:hint="eastAsia" w:cs="宋体" w:asciiTheme="minorEastAsia" w:hAnsiTheme="minorEastAsia"/>
          <w:color w:val="000000"/>
          <w:u w:val="single"/>
        </w:rPr>
        <w:t>   （姓名）   </w:t>
      </w:r>
      <w:r>
        <w:rPr>
          <w:rFonts w:hint="eastAsia" w:cs="宋体" w:asciiTheme="minorEastAsia" w:hAnsiTheme="minorEastAsia"/>
          <w:color w:val="000000"/>
        </w:rPr>
        <w:t>为我方代理人。代理人根据授权，以我方名义签署、澄清、说明、补正、递交、撤回、修改贵方组织的</w:t>
      </w:r>
      <w:r>
        <w:rPr>
          <w:rFonts w:hint="eastAsia" w:cs="宋体" w:asciiTheme="minorEastAsia" w:hAnsiTheme="minorEastAsia"/>
          <w:color w:val="000000"/>
          <w:u w:val="single"/>
        </w:rPr>
        <w:t>   （项目名称）     </w:t>
      </w:r>
      <w:r>
        <w:rPr>
          <w:rFonts w:hint="eastAsia" w:cs="宋体" w:asciiTheme="minorEastAsia" w:hAnsiTheme="minorEastAsia"/>
          <w:color w:val="000000"/>
        </w:rPr>
        <w:t>项目的采购响应文件、签订合同和处理一切有关事宜。代理期限从</w:t>
      </w:r>
      <w:r>
        <w:rPr>
          <w:rFonts w:hint="eastAsia" w:cs="宋体" w:asciiTheme="minorEastAsia" w:hAnsiTheme="minorEastAsia"/>
          <w:color w:val="000000"/>
          <w:u w:val="single"/>
        </w:rPr>
        <w:t xml:space="preserve">     </w:t>
      </w:r>
      <w:r>
        <w:rPr>
          <w:rFonts w:hint="eastAsia" w:cs="宋体" w:asciiTheme="minorEastAsia" w:hAnsiTheme="minorEastAsia"/>
          <w:color w:val="000000"/>
        </w:rPr>
        <w:t>年</w:t>
      </w:r>
      <w:r>
        <w:rPr>
          <w:rFonts w:hint="eastAsia" w:cs="宋体" w:asciiTheme="minorEastAsia" w:hAnsiTheme="minorEastAsia"/>
          <w:color w:val="000000"/>
          <w:u w:val="single"/>
        </w:rPr>
        <w:t xml:space="preserve">    </w:t>
      </w:r>
      <w:r>
        <w:rPr>
          <w:rFonts w:hint="eastAsia" w:cs="宋体" w:asciiTheme="minorEastAsia" w:hAnsiTheme="minorEastAsia"/>
          <w:color w:val="000000"/>
        </w:rPr>
        <w:t>月</w:t>
      </w:r>
      <w:r>
        <w:rPr>
          <w:rFonts w:hint="eastAsia" w:cs="宋体" w:asciiTheme="minorEastAsia" w:hAnsiTheme="minorEastAsia"/>
          <w:color w:val="000000"/>
          <w:u w:val="single"/>
        </w:rPr>
        <w:t xml:space="preserve">    </w:t>
      </w:r>
      <w:r>
        <w:rPr>
          <w:rFonts w:hint="eastAsia" w:cs="宋体" w:asciiTheme="minorEastAsia" w:hAnsiTheme="minorEastAsia"/>
          <w:color w:val="000000"/>
        </w:rPr>
        <w:t>日起至</w:t>
      </w:r>
      <w:r>
        <w:rPr>
          <w:rFonts w:hint="eastAsia" w:cs="宋体" w:asciiTheme="minorEastAsia" w:hAnsiTheme="minorEastAsia"/>
          <w:color w:val="000000"/>
          <w:u w:val="single"/>
        </w:rPr>
        <w:t xml:space="preserve">      </w:t>
      </w:r>
      <w:r>
        <w:rPr>
          <w:rFonts w:hint="eastAsia" w:cs="宋体" w:asciiTheme="minorEastAsia" w:hAnsiTheme="minorEastAsia"/>
          <w:color w:val="000000"/>
        </w:rPr>
        <w:t>年</w:t>
      </w:r>
      <w:r>
        <w:rPr>
          <w:rFonts w:hint="eastAsia" w:cs="宋体" w:asciiTheme="minorEastAsia" w:hAnsiTheme="minorEastAsia"/>
          <w:color w:val="000000"/>
          <w:u w:val="single"/>
        </w:rPr>
        <w:t xml:space="preserve">    </w:t>
      </w:r>
      <w:r>
        <w:rPr>
          <w:rFonts w:hint="eastAsia" w:cs="宋体" w:asciiTheme="minorEastAsia" w:hAnsiTheme="minorEastAsia"/>
          <w:color w:val="000000"/>
        </w:rPr>
        <w:t>月</w:t>
      </w:r>
      <w:r>
        <w:rPr>
          <w:rFonts w:hint="eastAsia" w:cs="宋体" w:asciiTheme="minorEastAsia" w:hAnsiTheme="minorEastAsia"/>
          <w:color w:val="000000"/>
          <w:u w:val="single"/>
        </w:rPr>
        <w:t xml:space="preserve">    </w:t>
      </w:r>
      <w:r>
        <w:rPr>
          <w:rFonts w:hint="eastAsia" w:cs="宋体" w:asciiTheme="minorEastAsia" w:hAnsiTheme="minorEastAsia"/>
          <w:color w:val="000000"/>
        </w:rPr>
        <w:t>日止。</w:t>
      </w:r>
    </w:p>
    <w:p w14:paraId="469A53E9">
      <w:pPr>
        <w:pStyle w:val="13"/>
        <w:widowControl/>
        <w:spacing w:beforeAutospacing="0" w:afterAutospacing="0" w:line="360" w:lineRule="auto"/>
        <w:rPr>
          <w:rFonts w:hint="eastAsia" w:asciiTheme="minorEastAsia" w:hAnsiTheme="minorEastAsia"/>
        </w:rPr>
      </w:pPr>
      <w:r>
        <w:rPr>
          <w:rFonts w:hint="eastAsia" w:cs="宋体" w:asciiTheme="minorEastAsia" w:hAnsiTheme="minorEastAsia"/>
          <w:color w:val="000000"/>
        </w:rPr>
        <w:t> </w:t>
      </w:r>
    </w:p>
    <w:p w14:paraId="2991F8D3">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授权单位（盖章）：</w:t>
      </w:r>
      <w:r>
        <w:rPr>
          <w:rFonts w:hint="eastAsia" w:cs="宋体" w:asciiTheme="minorEastAsia" w:hAnsiTheme="minorEastAsia"/>
          <w:color w:val="000000"/>
          <w:u w:val="single"/>
        </w:rPr>
        <w:t>                     </w:t>
      </w:r>
    </w:p>
    <w:p w14:paraId="60036EB2">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法定代表人（签字或签章）：</w:t>
      </w:r>
      <w:r>
        <w:rPr>
          <w:rFonts w:hint="eastAsia" w:cs="宋体" w:asciiTheme="minorEastAsia" w:hAnsiTheme="minorEastAsia"/>
          <w:color w:val="000000"/>
          <w:u w:val="single"/>
        </w:rPr>
        <w:t xml:space="preserve">                   </w:t>
      </w:r>
    </w:p>
    <w:p w14:paraId="7EBA9DC5">
      <w:pPr>
        <w:pStyle w:val="13"/>
        <w:widowControl/>
        <w:spacing w:beforeAutospacing="0" w:afterAutospacing="0" w:line="360" w:lineRule="auto"/>
        <w:ind w:firstLine="645"/>
        <w:rPr>
          <w:rFonts w:hint="eastAsia" w:cs="宋体" w:asciiTheme="minorEastAsia" w:hAnsiTheme="minorEastAsia"/>
          <w:color w:val="000000"/>
          <w:u w:val="single"/>
        </w:rPr>
      </w:pPr>
      <w:r>
        <w:rPr>
          <w:rFonts w:hint="eastAsia" w:cs="宋体" w:asciiTheme="minorEastAsia" w:hAnsiTheme="minorEastAsia"/>
          <w:color w:val="000000"/>
        </w:rPr>
        <w:t>被授权代表（签字或章）：</w:t>
      </w:r>
      <w:r>
        <w:rPr>
          <w:rFonts w:hint="eastAsia" w:cs="宋体" w:asciiTheme="minorEastAsia" w:hAnsiTheme="minorEastAsia"/>
          <w:color w:val="000000"/>
          <w:u w:val="single"/>
        </w:rPr>
        <w:t xml:space="preserve">                                       </w:t>
      </w:r>
    </w:p>
    <w:p w14:paraId="5843791D">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签发日期：</w:t>
      </w:r>
      <w:r>
        <w:rPr>
          <w:rFonts w:hint="eastAsia" w:cs="宋体" w:asciiTheme="minorEastAsia" w:hAnsiTheme="minorEastAsia"/>
          <w:color w:val="000000"/>
          <w:u w:val="single"/>
        </w:rPr>
        <w:t xml:space="preserve">      </w:t>
      </w:r>
      <w:r>
        <w:rPr>
          <w:rFonts w:hint="eastAsia" w:cs="宋体" w:asciiTheme="minorEastAsia" w:hAnsiTheme="minorEastAsia"/>
          <w:color w:val="000000"/>
        </w:rPr>
        <w:t>年</w:t>
      </w:r>
      <w:r>
        <w:rPr>
          <w:rFonts w:hint="eastAsia" w:cs="宋体" w:asciiTheme="minorEastAsia" w:hAnsiTheme="minorEastAsia"/>
          <w:color w:val="000000"/>
          <w:u w:val="single"/>
        </w:rPr>
        <w:t xml:space="preserve">    </w:t>
      </w:r>
      <w:r>
        <w:rPr>
          <w:rFonts w:hint="eastAsia" w:cs="宋体" w:asciiTheme="minorEastAsia" w:hAnsiTheme="minorEastAsia"/>
          <w:color w:val="000000"/>
        </w:rPr>
        <w:t>月</w:t>
      </w:r>
      <w:r>
        <w:rPr>
          <w:rFonts w:hint="eastAsia" w:cs="宋体" w:asciiTheme="minorEastAsia" w:hAnsiTheme="minorEastAsia"/>
          <w:color w:val="000000"/>
          <w:u w:val="single"/>
        </w:rPr>
        <w:t xml:space="preserve">    </w:t>
      </w:r>
      <w:r>
        <w:rPr>
          <w:rFonts w:hint="eastAsia" w:cs="宋体" w:asciiTheme="minorEastAsia" w:hAnsiTheme="minorEastAsia"/>
          <w:color w:val="000000"/>
        </w:rPr>
        <w:t>日</w:t>
      </w:r>
    </w:p>
    <w:p w14:paraId="2F8A32C4">
      <w:pPr>
        <w:pStyle w:val="13"/>
        <w:widowControl/>
        <w:spacing w:beforeAutospacing="0" w:afterAutospacing="0" w:line="360" w:lineRule="auto"/>
        <w:ind w:firstLine="645"/>
        <w:rPr>
          <w:rFonts w:hint="eastAsia" w:cs="宋体" w:asciiTheme="minorEastAsia" w:hAnsiTheme="minorEastAsia"/>
          <w:color w:val="000000"/>
        </w:rPr>
      </w:pPr>
    </w:p>
    <w:p w14:paraId="63CA4BE3">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附：代理人工作单位：</w:t>
      </w:r>
      <w:r>
        <w:rPr>
          <w:rFonts w:hint="eastAsia" w:cs="宋体" w:asciiTheme="minorEastAsia" w:hAnsiTheme="minorEastAsia"/>
          <w:color w:val="000000"/>
          <w:u w:val="single"/>
        </w:rPr>
        <w:t>                          </w:t>
      </w:r>
    </w:p>
    <w:p w14:paraId="62CE36A1">
      <w:pPr>
        <w:pStyle w:val="13"/>
        <w:widowControl/>
        <w:spacing w:beforeAutospacing="0" w:afterAutospacing="0" w:line="360" w:lineRule="auto"/>
        <w:ind w:firstLine="720" w:firstLineChars="300"/>
        <w:rPr>
          <w:rFonts w:hint="eastAsia" w:asciiTheme="minorEastAsia" w:hAnsiTheme="minorEastAsia"/>
        </w:rPr>
      </w:pPr>
      <w:r>
        <w:rPr>
          <w:rFonts w:hint="eastAsia" w:cs="宋体" w:asciiTheme="minorEastAsia" w:hAnsiTheme="minorEastAsia"/>
          <w:color w:val="000000"/>
        </w:rPr>
        <w:t>身份证号码：</w:t>
      </w:r>
      <w:r>
        <w:rPr>
          <w:rFonts w:hint="eastAsia" w:cs="宋体" w:asciiTheme="minorEastAsia" w:hAnsiTheme="minorEastAsia"/>
          <w:color w:val="000000"/>
          <w:u w:val="single"/>
        </w:rPr>
        <w:t>                              </w:t>
      </w:r>
    </w:p>
    <w:tbl>
      <w:tblPr>
        <w:tblStyle w:val="14"/>
        <w:tblW w:w="0" w:type="auto"/>
        <w:tblCellSpacing w:w="0" w:type="dxa"/>
        <w:tblInd w:w="118" w:type="dxa"/>
        <w:tblLayout w:type="autofit"/>
        <w:tblCellMar>
          <w:top w:w="0" w:type="dxa"/>
          <w:left w:w="0" w:type="dxa"/>
          <w:bottom w:w="0" w:type="dxa"/>
          <w:right w:w="0" w:type="dxa"/>
        </w:tblCellMar>
      </w:tblPr>
      <w:tblGrid>
        <w:gridCol w:w="8200"/>
      </w:tblGrid>
      <w:tr w14:paraId="1175F42A">
        <w:tblPrEx>
          <w:tblCellMar>
            <w:top w:w="0" w:type="dxa"/>
            <w:left w:w="0" w:type="dxa"/>
            <w:bottom w:w="0" w:type="dxa"/>
            <w:right w:w="0" w:type="dxa"/>
          </w:tblCellMar>
        </w:tblPrEx>
        <w:trPr>
          <w:trHeight w:val="3091" w:hRule="atLeast"/>
          <w:tblCellSpacing w:w="0" w:type="dxa"/>
        </w:trPr>
        <w:tc>
          <w:tcPr>
            <w:tcW w:w="8200" w:type="dxa"/>
            <w:tcBorders>
              <w:top w:val="single" w:color="auto" w:sz="6" w:space="0"/>
              <w:left w:val="single" w:color="auto" w:sz="6" w:space="0"/>
              <w:bottom w:val="single" w:color="auto" w:sz="6" w:space="0"/>
              <w:right w:val="single" w:color="auto" w:sz="6" w:space="0"/>
            </w:tcBorders>
            <w:tcMar>
              <w:left w:w="105" w:type="dxa"/>
              <w:right w:w="105" w:type="dxa"/>
            </w:tcMar>
          </w:tcPr>
          <w:p w14:paraId="1C129F4C">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rPr>
              <w:t>粘贴法定代表人、被授权人身份证（正、反两面复印件）</w:t>
            </w:r>
          </w:p>
        </w:tc>
      </w:tr>
    </w:tbl>
    <w:p w14:paraId="7524A2A8">
      <w:pPr>
        <w:pStyle w:val="13"/>
        <w:widowControl/>
        <w:spacing w:beforeAutospacing="0" w:afterAutospacing="0" w:line="360" w:lineRule="auto"/>
        <w:rPr>
          <w:rFonts w:hint="eastAsia" w:asciiTheme="minorEastAsia" w:hAnsiTheme="minorEastAsia"/>
        </w:rPr>
      </w:pPr>
    </w:p>
    <w:p w14:paraId="1980F81A">
      <w:pPr>
        <w:pStyle w:val="13"/>
        <w:widowControl/>
        <w:spacing w:beforeAutospacing="0" w:afterAutospacing="0" w:line="360" w:lineRule="auto"/>
        <w:ind w:firstLine="645"/>
        <w:jc w:val="center"/>
        <w:rPr>
          <w:rFonts w:hint="eastAsia" w:asciiTheme="minorEastAsia" w:hAnsiTheme="minorEastAsia"/>
        </w:rPr>
      </w:pPr>
      <w:r>
        <w:rPr>
          <w:rStyle w:val="16"/>
          <w:rFonts w:hint="eastAsia" w:cs="宋体" w:asciiTheme="minorEastAsia" w:hAnsiTheme="minorEastAsia"/>
          <w:color w:val="000000"/>
        </w:rPr>
        <w:t> 法定代表人身份证明书</w:t>
      </w:r>
    </w:p>
    <w:p w14:paraId="03BAB4AC">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供应商名称：</w:t>
      </w:r>
      <w:r>
        <w:rPr>
          <w:rFonts w:hint="eastAsia" w:cs="宋体" w:asciiTheme="minorEastAsia" w:hAnsiTheme="minorEastAsia"/>
          <w:color w:val="000000"/>
          <w:u w:val="single"/>
        </w:rPr>
        <w:t>                            </w:t>
      </w:r>
    </w:p>
    <w:p w14:paraId="2CB1D8F1">
      <w:pPr>
        <w:pStyle w:val="13"/>
        <w:widowControl/>
        <w:spacing w:beforeAutospacing="0" w:afterAutospacing="0" w:line="360" w:lineRule="auto"/>
        <w:ind w:firstLine="480" w:firstLineChars="200"/>
        <w:rPr>
          <w:rFonts w:hint="eastAsia" w:cs="宋体" w:asciiTheme="minorEastAsia" w:hAnsiTheme="minorEastAsia"/>
          <w:color w:val="000000"/>
          <w:u w:val="single"/>
        </w:rPr>
      </w:pPr>
      <w:r>
        <w:rPr>
          <w:rFonts w:hint="eastAsia" w:cs="宋体" w:asciiTheme="minorEastAsia" w:hAnsiTheme="minorEastAsia"/>
          <w:color w:val="000000"/>
        </w:rPr>
        <w:t>地址：</w:t>
      </w:r>
      <w:r>
        <w:rPr>
          <w:rFonts w:hint="eastAsia" w:cs="宋体" w:asciiTheme="minorEastAsia" w:hAnsiTheme="minorEastAsia"/>
          <w:color w:val="000000"/>
          <w:u w:val="single"/>
        </w:rPr>
        <w:t>                                   </w:t>
      </w:r>
    </w:p>
    <w:p w14:paraId="3DDC60B4">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姓名：</w:t>
      </w:r>
      <w:r>
        <w:rPr>
          <w:rFonts w:hint="eastAsia" w:cs="宋体" w:asciiTheme="minorEastAsia" w:hAnsiTheme="minorEastAsia"/>
          <w:color w:val="000000"/>
          <w:u w:val="single"/>
        </w:rPr>
        <w:t xml:space="preserve">          </w:t>
      </w:r>
      <w:r>
        <w:rPr>
          <w:rFonts w:hint="eastAsia" w:cs="宋体" w:asciiTheme="minorEastAsia" w:hAnsiTheme="minorEastAsia"/>
          <w:color w:val="000000"/>
        </w:rPr>
        <w:t>性别：</w:t>
      </w:r>
      <w:r>
        <w:rPr>
          <w:rFonts w:hint="eastAsia" w:cs="宋体" w:asciiTheme="minorEastAsia" w:hAnsiTheme="minorEastAsia"/>
          <w:color w:val="000000"/>
          <w:u w:val="single"/>
        </w:rPr>
        <w:t>           </w:t>
      </w:r>
    </w:p>
    <w:p w14:paraId="4A76BA59">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年龄：</w:t>
      </w:r>
      <w:r>
        <w:rPr>
          <w:rFonts w:hint="eastAsia" w:cs="宋体" w:asciiTheme="minorEastAsia" w:hAnsiTheme="minorEastAsia"/>
          <w:color w:val="000000"/>
          <w:u w:val="single"/>
        </w:rPr>
        <w:t>         </w:t>
      </w:r>
      <w:r>
        <w:rPr>
          <w:rFonts w:hint="eastAsia" w:cs="宋体" w:asciiTheme="minorEastAsia" w:hAnsiTheme="minorEastAsia"/>
          <w:color w:val="000000"/>
        </w:rPr>
        <w:t>职务：</w:t>
      </w:r>
      <w:r>
        <w:rPr>
          <w:rFonts w:hint="eastAsia" w:cs="宋体" w:asciiTheme="minorEastAsia" w:hAnsiTheme="minorEastAsia"/>
          <w:color w:val="000000"/>
          <w:u w:val="single"/>
        </w:rPr>
        <w:t>           </w:t>
      </w:r>
    </w:p>
    <w:p w14:paraId="47D7C3D2">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身份证号码：</w:t>
      </w:r>
      <w:r>
        <w:rPr>
          <w:rFonts w:hint="eastAsia" w:cs="宋体" w:asciiTheme="minorEastAsia" w:hAnsiTheme="minorEastAsia"/>
          <w:color w:val="000000"/>
          <w:u w:val="single"/>
        </w:rPr>
        <w:t>             </w:t>
      </w:r>
      <w:r>
        <w:rPr>
          <w:rFonts w:hint="eastAsia" w:cs="宋体" w:asciiTheme="minorEastAsia" w:hAnsiTheme="minorEastAsia"/>
          <w:color w:val="000000"/>
        </w:rPr>
        <w:t>系</w:t>
      </w:r>
      <w:r>
        <w:rPr>
          <w:rFonts w:hint="eastAsia" w:cs="宋体" w:asciiTheme="minorEastAsia" w:hAnsiTheme="minorEastAsia"/>
          <w:color w:val="000000"/>
          <w:u w:val="single"/>
        </w:rPr>
        <w:t>（供应商名称）</w:t>
      </w:r>
      <w:r>
        <w:rPr>
          <w:rFonts w:hint="eastAsia" w:cs="宋体" w:asciiTheme="minorEastAsia" w:hAnsiTheme="minorEastAsia"/>
          <w:color w:val="000000"/>
        </w:rPr>
        <w:t>的法定代表人。</w:t>
      </w:r>
    </w:p>
    <w:p w14:paraId="3B8020D0">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特此证明。 </w:t>
      </w:r>
    </w:p>
    <w:p w14:paraId="3D779704">
      <w:pPr>
        <w:pStyle w:val="13"/>
        <w:widowControl/>
        <w:spacing w:beforeAutospacing="0" w:afterAutospacing="0" w:line="360" w:lineRule="auto"/>
        <w:ind w:left="540" w:firstLine="645"/>
        <w:rPr>
          <w:rFonts w:hint="eastAsia" w:cs="宋体" w:asciiTheme="minorEastAsia" w:hAnsiTheme="minorEastAsia"/>
          <w:color w:val="000000"/>
        </w:rPr>
      </w:pPr>
    </w:p>
    <w:p w14:paraId="2FE94AEC">
      <w:pPr>
        <w:pStyle w:val="13"/>
        <w:widowControl/>
        <w:spacing w:beforeAutospacing="0" w:afterAutospacing="0" w:line="360" w:lineRule="auto"/>
        <w:ind w:left="540" w:firstLine="645"/>
        <w:rPr>
          <w:rFonts w:hint="eastAsia" w:asciiTheme="minorEastAsia" w:hAnsiTheme="minorEastAsia"/>
        </w:rPr>
      </w:pPr>
      <w:r>
        <w:rPr>
          <w:rFonts w:hint="eastAsia" w:cs="宋体" w:asciiTheme="minorEastAsia" w:hAnsiTheme="minorEastAsia"/>
          <w:color w:val="000000"/>
        </w:rPr>
        <w:t>附件：法定代表人有效身份证正反面复印件 </w:t>
      </w:r>
    </w:p>
    <w:p w14:paraId="23EC0ABD">
      <w:pPr>
        <w:pStyle w:val="13"/>
        <w:widowControl/>
        <w:spacing w:beforeAutospacing="0" w:afterAutospacing="0" w:line="360" w:lineRule="auto"/>
        <w:ind w:firstLine="2160" w:firstLineChars="900"/>
        <w:rPr>
          <w:rFonts w:hint="eastAsia" w:cs="宋体" w:asciiTheme="minorEastAsia" w:hAnsiTheme="minorEastAsia"/>
          <w:color w:val="000000"/>
        </w:rPr>
      </w:pPr>
    </w:p>
    <w:p w14:paraId="3164C7AF">
      <w:pPr>
        <w:pStyle w:val="13"/>
        <w:widowControl/>
        <w:spacing w:beforeAutospacing="0" w:afterAutospacing="0" w:line="360" w:lineRule="auto"/>
        <w:ind w:firstLine="2160" w:firstLineChars="900"/>
        <w:rPr>
          <w:rFonts w:hint="eastAsia" w:asciiTheme="minorEastAsia" w:hAnsiTheme="minorEastAsia"/>
        </w:rPr>
      </w:pPr>
      <w:r>
        <w:rPr>
          <w:rFonts w:hint="eastAsia" w:cs="宋体" w:asciiTheme="minorEastAsia" w:hAnsiTheme="minorEastAsia"/>
          <w:color w:val="000000"/>
        </w:rPr>
        <w:t>供应商名称（盖章）：</w:t>
      </w:r>
    </w:p>
    <w:p w14:paraId="024D41F2">
      <w:pPr>
        <w:pStyle w:val="13"/>
        <w:widowControl/>
        <w:spacing w:beforeAutospacing="0" w:afterAutospacing="0" w:line="360" w:lineRule="auto"/>
        <w:ind w:firstLine="645"/>
        <w:jc w:val="center"/>
        <w:rPr>
          <w:rFonts w:hint="eastAsia" w:asciiTheme="minorEastAsia" w:hAnsiTheme="minorEastAsia"/>
        </w:rPr>
      </w:pPr>
      <w:r>
        <w:rPr>
          <w:rFonts w:hint="eastAsia" w:cs="宋体" w:asciiTheme="minorEastAsia" w:hAnsiTheme="minorEastAsia"/>
          <w:color w:val="000000"/>
        </w:rPr>
        <w:t>                                                    日期：   年  月  日 </w:t>
      </w:r>
    </w:p>
    <w:p w14:paraId="68E78B52">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注：1.自然人竞标的无需提供。</w:t>
      </w:r>
    </w:p>
    <w:p w14:paraId="15D8C1A7">
      <w:pPr>
        <w:pStyle w:val="13"/>
        <w:widowControl/>
        <w:spacing w:beforeAutospacing="0" w:afterAutospacing="0" w:line="360" w:lineRule="auto"/>
        <w:ind w:firstLine="960" w:firstLineChars="400"/>
        <w:rPr>
          <w:rFonts w:hint="eastAsia" w:asciiTheme="minorEastAsia" w:hAnsiTheme="minorEastAsia"/>
        </w:rPr>
      </w:pPr>
      <w:r>
        <w:rPr>
          <w:rFonts w:hint="eastAsia" w:cs="宋体" w:asciiTheme="minorEastAsia" w:hAnsiTheme="minorEastAsia"/>
          <w:color w:val="000000"/>
        </w:rPr>
        <w:t>2.供应商为其他组织或者自然人时，本采购文件规定的法定代表人指负责人或者自然人。本采购文件所称负责人是指参加竞标的其他组织营业执照上的负责人，本采购文件所称自然人指参与竞标的自然人本人。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3789ED9F">
      <w:pPr>
        <w:pStyle w:val="13"/>
        <w:widowControl/>
        <w:spacing w:beforeAutospacing="0" w:afterAutospacing="0" w:line="360" w:lineRule="auto"/>
        <w:rPr>
          <w:rFonts w:hint="eastAsia" w:asciiTheme="minorEastAsia" w:hAnsiTheme="minorEastAsia"/>
        </w:rPr>
      </w:pPr>
    </w:p>
    <w:p w14:paraId="416DD151">
      <w:pPr>
        <w:pStyle w:val="13"/>
        <w:widowControl/>
        <w:spacing w:beforeAutospacing="0" w:afterAutospacing="0" w:line="360" w:lineRule="auto"/>
        <w:ind w:firstLine="645"/>
        <w:rPr>
          <w:rFonts w:hint="eastAsia" w:cs="宋体" w:asciiTheme="minorEastAsia" w:hAnsiTheme="minorEastAsia"/>
          <w:color w:val="000000"/>
        </w:rPr>
      </w:pPr>
    </w:p>
    <w:p w14:paraId="2D03E120">
      <w:pPr>
        <w:pStyle w:val="13"/>
        <w:widowControl/>
        <w:spacing w:beforeAutospacing="0" w:afterAutospacing="0" w:line="360" w:lineRule="auto"/>
        <w:ind w:firstLine="645"/>
        <w:rPr>
          <w:rFonts w:hint="eastAsia" w:cs="宋体" w:asciiTheme="minorEastAsia" w:hAnsiTheme="minorEastAsia"/>
          <w:color w:val="000000"/>
        </w:rPr>
      </w:pPr>
    </w:p>
    <w:p w14:paraId="08E05428">
      <w:pPr>
        <w:pStyle w:val="13"/>
        <w:widowControl/>
        <w:spacing w:beforeAutospacing="0" w:afterAutospacing="0" w:line="360" w:lineRule="auto"/>
        <w:rPr>
          <w:rFonts w:hint="eastAsia" w:cs="宋体" w:asciiTheme="minorEastAsia" w:hAnsiTheme="minorEastAsia"/>
          <w:color w:val="000000"/>
        </w:rPr>
      </w:pPr>
      <w:bookmarkStart w:id="93" w:name="_Toc23476"/>
    </w:p>
    <w:p w14:paraId="2109399B">
      <w:pPr>
        <w:pStyle w:val="13"/>
        <w:widowControl/>
        <w:spacing w:beforeAutospacing="0" w:afterAutospacing="0" w:line="360" w:lineRule="auto"/>
        <w:rPr>
          <w:rFonts w:hint="eastAsia" w:cs="宋体" w:asciiTheme="minorEastAsia" w:hAnsiTheme="minorEastAsia"/>
          <w:color w:val="000000"/>
        </w:rPr>
      </w:pPr>
    </w:p>
    <w:p w14:paraId="79F3B630">
      <w:pPr>
        <w:pStyle w:val="13"/>
        <w:widowControl/>
        <w:spacing w:beforeAutospacing="0" w:afterAutospacing="0" w:line="360" w:lineRule="auto"/>
        <w:rPr>
          <w:rFonts w:hint="eastAsia" w:cs="宋体" w:asciiTheme="minorEastAsia" w:hAnsiTheme="minorEastAsia"/>
          <w:color w:val="000000"/>
        </w:rPr>
      </w:pPr>
    </w:p>
    <w:p w14:paraId="15A14933">
      <w:pPr>
        <w:pStyle w:val="13"/>
        <w:widowControl/>
        <w:spacing w:beforeAutospacing="0" w:afterAutospacing="0" w:line="360" w:lineRule="auto"/>
        <w:rPr>
          <w:rFonts w:hint="eastAsia" w:cs="宋体" w:asciiTheme="minorEastAsia" w:hAnsiTheme="minorEastAsia"/>
          <w:color w:val="000000"/>
        </w:rPr>
      </w:pPr>
    </w:p>
    <w:p w14:paraId="6781E372">
      <w:pPr>
        <w:pStyle w:val="13"/>
        <w:widowControl/>
        <w:spacing w:beforeAutospacing="0" w:afterAutospacing="0" w:line="360" w:lineRule="auto"/>
        <w:rPr>
          <w:rFonts w:hint="eastAsia" w:cs="宋体" w:asciiTheme="minorEastAsia" w:hAnsiTheme="minorEastAsia"/>
          <w:color w:val="000000"/>
        </w:rPr>
      </w:pPr>
    </w:p>
    <w:p w14:paraId="7CFF75E9">
      <w:pPr>
        <w:pStyle w:val="13"/>
        <w:widowControl/>
        <w:spacing w:beforeAutospacing="0" w:afterAutospacing="0" w:line="360" w:lineRule="auto"/>
        <w:rPr>
          <w:rFonts w:hint="eastAsia" w:cs="宋体" w:asciiTheme="minorEastAsia" w:hAnsiTheme="minorEastAsia"/>
          <w:color w:val="000000"/>
        </w:rPr>
      </w:pPr>
    </w:p>
    <w:p w14:paraId="6F5B6241">
      <w:pPr>
        <w:pStyle w:val="13"/>
        <w:widowControl/>
        <w:spacing w:beforeAutospacing="0" w:afterAutospacing="0" w:line="360" w:lineRule="auto"/>
        <w:rPr>
          <w:rFonts w:hint="eastAsia" w:cs="宋体" w:asciiTheme="minorEastAsia" w:hAnsiTheme="minorEastAsia"/>
          <w:color w:val="000000"/>
        </w:rPr>
      </w:pPr>
    </w:p>
    <w:p w14:paraId="1FD54623">
      <w:pPr>
        <w:pStyle w:val="13"/>
        <w:widowControl/>
        <w:spacing w:beforeAutospacing="0" w:afterAutospacing="0" w:line="360" w:lineRule="auto"/>
        <w:rPr>
          <w:rFonts w:hint="eastAsia" w:cs="宋体" w:asciiTheme="minorEastAsia" w:hAnsiTheme="minorEastAsia"/>
          <w:color w:val="000000"/>
        </w:rPr>
      </w:pPr>
    </w:p>
    <w:p w14:paraId="53F05D31">
      <w:pPr>
        <w:pStyle w:val="13"/>
        <w:widowControl/>
        <w:spacing w:beforeAutospacing="0" w:afterAutospacing="0" w:line="360" w:lineRule="auto"/>
        <w:rPr>
          <w:rFonts w:hint="eastAsia" w:cs="宋体" w:asciiTheme="minorEastAsia" w:hAnsiTheme="minorEastAsia"/>
          <w:color w:val="000000"/>
        </w:rPr>
      </w:pPr>
    </w:p>
    <w:p w14:paraId="47340EA5">
      <w:pPr>
        <w:pStyle w:val="13"/>
        <w:widowControl/>
        <w:spacing w:beforeAutospacing="0" w:afterAutospacing="0" w:line="360" w:lineRule="auto"/>
        <w:rPr>
          <w:rFonts w:hint="eastAsia" w:cs="宋体" w:asciiTheme="minorEastAsia" w:hAnsiTheme="minorEastAsia"/>
          <w:color w:val="000000"/>
        </w:rPr>
      </w:pPr>
    </w:p>
    <w:p w14:paraId="3322B4B9">
      <w:pPr>
        <w:pStyle w:val="13"/>
        <w:widowControl/>
        <w:spacing w:beforeAutospacing="0" w:afterAutospacing="0" w:line="360" w:lineRule="auto"/>
        <w:rPr>
          <w:rFonts w:hint="eastAsia" w:cs="宋体" w:asciiTheme="minorEastAsia" w:hAnsiTheme="minorEastAsia"/>
          <w:color w:val="000000"/>
        </w:rPr>
      </w:pPr>
    </w:p>
    <w:p w14:paraId="557BDC72">
      <w:pPr>
        <w:pStyle w:val="13"/>
        <w:widowControl/>
        <w:spacing w:beforeAutospacing="0" w:afterAutospacing="0" w:line="360" w:lineRule="auto"/>
        <w:rPr>
          <w:rFonts w:hint="eastAsia" w:cs="宋体" w:asciiTheme="minorEastAsia" w:hAnsiTheme="minorEastAsia"/>
          <w:color w:val="000000"/>
        </w:rPr>
      </w:pPr>
    </w:p>
    <w:p w14:paraId="0BC4E6F2">
      <w:pPr>
        <w:pStyle w:val="13"/>
        <w:widowControl/>
        <w:spacing w:beforeAutospacing="0" w:afterAutospacing="0" w:line="360" w:lineRule="auto"/>
        <w:rPr>
          <w:rFonts w:hint="eastAsia" w:cs="宋体" w:asciiTheme="minorEastAsia" w:hAnsiTheme="minorEastAsia"/>
          <w:color w:val="000000"/>
        </w:rPr>
      </w:pPr>
    </w:p>
    <w:p w14:paraId="1BDC8A1D">
      <w:pPr>
        <w:pStyle w:val="13"/>
        <w:widowControl/>
        <w:spacing w:beforeAutospacing="0" w:afterAutospacing="0" w:line="360" w:lineRule="auto"/>
        <w:rPr>
          <w:rFonts w:hint="eastAsia" w:cs="宋体" w:asciiTheme="minorEastAsia" w:hAnsiTheme="minorEastAsia"/>
          <w:color w:val="000000"/>
        </w:rPr>
      </w:pPr>
    </w:p>
    <w:p w14:paraId="76AB36D9">
      <w:pPr>
        <w:pStyle w:val="13"/>
        <w:widowControl/>
        <w:spacing w:beforeAutospacing="0" w:afterAutospacing="0" w:line="360" w:lineRule="auto"/>
        <w:rPr>
          <w:rFonts w:hint="eastAsia" w:asciiTheme="minorEastAsia" w:hAnsiTheme="minorEastAsia" w:eastAsiaTheme="minorEastAsia"/>
          <w:b/>
          <w:lang w:eastAsia="zh-CN"/>
        </w:rPr>
      </w:pPr>
      <w:r>
        <w:rPr>
          <w:rFonts w:hint="eastAsia" w:cs="宋体" w:asciiTheme="minorEastAsia" w:hAnsiTheme="minorEastAsia"/>
          <w:b/>
          <w:color w:val="000000"/>
        </w:rPr>
        <w:t>格式</w:t>
      </w:r>
      <w:bookmarkEnd w:id="93"/>
      <w:r>
        <w:rPr>
          <w:rFonts w:hint="eastAsia" w:cs="宋体" w:asciiTheme="minorEastAsia" w:hAnsiTheme="minorEastAsia"/>
          <w:b/>
          <w:color w:val="000000"/>
          <w:lang w:val="en-US" w:eastAsia="zh-CN"/>
        </w:rPr>
        <w:t>4</w:t>
      </w:r>
    </w:p>
    <w:p w14:paraId="21642B81">
      <w:pPr>
        <w:pStyle w:val="13"/>
        <w:widowControl/>
        <w:spacing w:beforeAutospacing="0" w:afterAutospacing="0" w:line="360" w:lineRule="auto"/>
        <w:ind w:firstLine="645"/>
        <w:jc w:val="center"/>
        <w:rPr>
          <w:rStyle w:val="16"/>
          <w:rFonts w:hint="eastAsia" w:cs="宋体" w:asciiTheme="minorEastAsia" w:hAnsiTheme="minorEastAsia"/>
          <w:color w:val="000000"/>
        </w:rPr>
      </w:pPr>
      <w:r>
        <w:rPr>
          <w:rStyle w:val="16"/>
          <w:rFonts w:hint="eastAsia" w:cs="宋体" w:asciiTheme="minorEastAsia" w:hAnsiTheme="minorEastAsia"/>
          <w:color w:val="000000"/>
        </w:rPr>
        <w:t>商务条款偏离表（格式）</w:t>
      </w:r>
    </w:p>
    <w:p w14:paraId="1AE5B355">
      <w:pPr>
        <w:pStyle w:val="13"/>
        <w:widowControl/>
        <w:spacing w:beforeAutospacing="0" w:afterAutospacing="0" w:line="360" w:lineRule="auto"/>
        <w:ind w:firstLine="645"/>
        <w:jc w:val="center"/>
        <w:rPr>
          <w:rStyle w:val="16"/>
          <w:rFonts w:hint="eastAsia" w:cs="宋体" w:asciiTheme="minorEastAsia" w:hAnsiTheme="minorEastAsia"/>
          <w:color w:val="000000"/>
        </w:rPr>
      </w:pPr>
    </w:p>
    <w:p w14:paraId="791D7195">
      <w:pPr>
        <w:pStyle w:val="13"/>
        <w:widowControl/>
        <w:spacing w:beforeAutospacing="0" w:afterAutospacing="0" w:line="360" w:lineRule="auto"/>
        <w:rPr>
          <w:rFonts w:hint="eastAsia" w:cs="宋体" w:asciiTheme="minorEastAsia" w:hAnsiTheme="minorEastAsia"/>
          <w:color w:val="000000"/>
          <w:u w:val="single"/>
        </w:rPr>
      </w:pPr>
      <w:r>
        <w:rPr>
          <w:rFonts w:hint="eastAsia" w:cs="宋体" w:asciiTheme="minorEastAsia" w:hAnsiTheme="minorEastAsia"/>
          <w:color w:val="000000"/>
          <w:spacing w:val="30"/>
        </w:rPr>
        <w:t>分标段</w:t>
      </w:r>
      <w:r>
        <w:rPr>
          <w:rFonts w:hint="eastAsia" w:cs="宋体" w:asciiTheme="minorEastAsia" w:hAnsiTheme="minorEastAsia"/>
          <w:color w:val="000000"/>
        </w:rPr>
        <w:t>: </w:t>
      </w:r>
      <w:r>
        <w:rPr>
          <w:rFonts w:hint="eastAsia" w:cs="宋体" w:asciiTheme="minorEastAsia" w:hAnsiTheme="minorEastAsia"/>
          <w:color w:val="000000"/>
          <w:u w:val="single"/>
        </w:rPr>
        <w:t>                </w:t>
      </w:r>
    </w:p>
    <w:tbl>
      <w:tblPr>
        <w:tblStyle w:val="14"/>
        <w:tblW w:w="8523" w:type="dxa"/>
        <w:jc w:val="center"/>
        <w:tblCellSpacing w:w="0" w:type="dxa"/>
        <w:tblLayout w:type="autofit"/>
        <w:tblCellMar>
          <w:top w:w="0" w:type="dxa"/>
          <w:left w:w="0" w:type="dxa"/>
          <w:bottom w:w="0" w:type="dxa"/>
          <w:right w:w="0" w:type="dxa"/>
        </w:tblCellMar>
      </w:tblPr>
      <w:tblGrid>
        <w:gridCol w:w="840"/>
        <w:gridCol w:w="3162"/>
        <w:gridCol w:w="3162"/>
        <w:gridCol w:w="1359"/>
      </w:tblGrid>
      <w:tr w14:paraId="06F4E28D">
        <w:tblPrEx>
          <w:tblCellMar>
            <w:top w:w="0" w:type="dxa"/>
            <w:left w:w="0" w:type="dxa"/>
            <w:bottom w:w="0" w:type="dxa"/>
            <w:right w:w="0" w:type="dxa"/>
          </w:tblCellMar>
        </w:tblPrEx>
        <w:trPr>
          <w:tblHeader/>
          <w:tblCellSpacing w:w="0" w:type="dxa"/>
          <w:jc w:val="center"/>
        </w:trPr>
        <w:tc>
          <w:tcPr>
            <w:tcW w:w="84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799B59AF">
            <w:pPr>
              <w:pStyle w:val="13"/>
              <w:widowControl/>
              <w:snapToGrid w:val="0"/>
              <w:spacing w:before="120" w:beforeAutospacing="0" w:afterAutospacing="0" w:line="360" w:lineRule="auto"/>
              <w:jc w:val="center"/>
              <w:rPr>
                <w:rFonts w:hint="eastAsia" w:asciiTheme="minorEastAsia" w:hAnsiTheme="minorEastAsia"/>
                <w:b/>
              </w:rPr>
            </w:pPr>
            <w:r>
              <w:rPr>
                <w:rFonts w:hint="eastAsia" w:cs="宋体" w:asciiTheme="minorEastAsia" w:hAnsiTheme="minorEastAsia"/>
                <w:b/>
              </w:rPr>
              <w:t>项号</w:t>
            </w:r>
          </w:p>
        </w:tc>
        <w:tc>
          <w:tcPr>
            <w:tcW w:w="3162" w:type="dxa"/>
            <w:tcBorders>
              <w:top w:val="single" w:color="auto" w:sz="6" w:space="0"/>
              <w:left w:val="nil"/>
              <w:bottom w:val="single" w:color="auto" w:sz="6" w:space="0"/>
              <w:right w:val="single" w:color="auto" w:sz="6" w:space="0"/>
            </w:tcBorders>
            <w:tcMar>
              <w:left w:w="105" w:type="dxa"/>
              <w:right w:w="105" w:type="dxa"/>
            </w:tcMar>
            <w:vAlign w:val="center"/>
          </w:tcPr>
          <w:p w14:paraId="57CC98D1">
            <w:pPr>
              <w:pStyle w:val="13"/>
              <w:widowControl/>
              <w:snapToGrid w:val="0"/>
              <w:spacing w:before="120" w:beforeAutospacing="0" w:afterAutospacing="0" w:line="360" w:lineRule="auto"/>
              <w:jc w:val="center"/>
              <w:rPr>
                <w:rFonts w:hint="eastAsia" w:asciiTheme="minorEastAsia" w:hAnsiTheme="minorEastAsia"/>
                <w:b/>
              </w:rPr>
            </w:pPr>
            <w:r>
              <w:rPr>
                <w:rFonts w:hint="eastAsia" w:cs="宋体" w:asciiTheme="minorEastAsia" w:hAnsiTheme="minorEastAsia"/>
                <w:b/>
              </w:rPr>
              <w:t>采购文件的商务条款要求</w:t>
            </w:r>
          </w:p>
        </w:tc>
        <w:tc>
          <w:tcPr>
            <w:tcW w:w="3162" w:type="dxa"/>
            <w:tcBorders>
              <w:top w:val="single" w:color="auto" w:sz="6" w:space="0"/>
              <w:left w:val="nil"/>
              <w:bottom w:val="single" w:color="auto" w:sz="6" w:space="0"/>
              <w:right w:val="single" w:color="auto" w:sz="6" w:space="0"/>
            </w:tcBorders>
            <w:tcMar>
              <w:left w:w="105" w:type="dxa"/>
              <w:right w:w="105" w:type="dxa"/>
            </w:tcMar>
            <w:vAlign w:val="center"/>
          </w:tcPr>
          <w:p w14:paraId="5F0F68B5">
            <w:pPr>
              <w:pStyle w:val="13"/>
              <w:widowControl/>
              <w:snapToGrid w:val="0"/>
              <w:spacing w:before="120" w:beforeAutospacing="0" w:afterAutospacing="0" w:line="360" w:lineRule="auto"/>
              <w:jc w:val="center"/>
              <w:rPr>
                <w:rFonts w:hint="eastAsia" w:asciiTheme="minorEastAsia" w:hAnsiTheme="minorEastAsia"/>
                <w:b/>
              </w:rPr>
            </w:pPr>
            <w:r>
              <w:rPr>
                <w:rFonts w:hint="eastAsia" w:cs="宋体" w:asciiTheme="minorEastAsia" w:hAnsiTheme="minorEastAsia"/>
                <w:b/>
              </w:rPr>
              <w:t>响应文件承诺的商务条款</w:t>
            </w:r>
          </w:p>
        </w:tc>
        <w:tc>
          <w:tcPr>
            <w:tcW w:w="1359" w:type="dxa"/>
            <w:tcBorders>
              <w:top w:val="single" w:color="auto" w:sz="6" w:space="0"/>
              <w:left w:val="nil"/>
              <w:bottom w:val="single" w:color="auto" w:sz="6" w:space="0"/>
              <w:right w:val="single" w:color="auto" w:sz="6" w:space="0"/>
            </w:tcBorders>
            <w:tcMar>
              <w:left w:w="105" w:type="dxa"/>
              <w:right w:w="105" w:type="dxa"/>
            </w:tcMar>
            <w:vAlign w:val="center"/>
          </w:tcPr>
          <w:p w14:paraId="6D30DF56">
            <w:pPr>
              <w:pStyle w:val="13"/>
              <w:widowControl/>
              <w:snapToGrid w:val="0"/>
              <w:spacing w:before="120" w:beforeAutospacing="0" w:afterAutospacing="0" w:line="360" w:lineRule="auto"/>
              <w:jc w:val="center"/>
              <w:rPr>
                <w:rFonts w:hint="eastAsia" w:asciiTheme="minorEastAsia" w:hAnsiTheme="minorEastAsia"/>
                <w:b/>
              </w:rPr>
            </w:pPr>
            <w:r>
              <w:rPr>
                <w:rFonts w:hint="eastAsia" w:cs="宋体" w:asciiTheme="minorEastAsia" w:hAnsiTheme="minorEastAsia"/>
                <w:b/>
              </w:rPr>
              <w:t>偏离说明</w:t>
            </w:r>
          </w:p>
        </w:tc>
      </w:tr>
      <w:tr w14:paraId="6935188F">
        <w:tblPrEx>
          <w:tblCellMar>
            <w:top w:w="0" w:type="dxa"/>
            <w:left w:w="0" w:type="dxa"/>
            <w:bottom w:w="0" w:type="dxa"/>
            <w:right w:w="0" w:type="dxa"/>
          </w:tblCellMar>
        </w:tblPrEx>
        <w:trPr>
          <w:tblCellSpacing w:w="0" w:type="dxa"/>
          <w:jc w:val="center"/>
        </w:trPr>
        <w:tc>
          <w:tcPr>
            <w:tcW w:w="840" w:type="dxa"/>
            <w:tcBorders>
              <w:top w:val="nil"/>
              <w:left w:val="single" w:color="auto" w:sz="6" w:space="0"/>
              <w:bottom w:val="single" w:color="auto" w:sz="6" w:space="0"/>
              <w:right w:val="single" w:color="auto" w:sz="6" w:space="0"/>
            </w:tcBorders>
            <w:tcMar>
              <w:left w:w="105" w:type="dxa"/>
              <w:right w:w="105" w:type="dxa"/>
            </w:tcMar>
            <w:vAlign w:val="center"/>
          </w:tcPr>
          <w:p w14:paraId="7BA3FBE2">
            <w:pPr>
              <w:widowControl/>
              <w:snapToGrid w:val="0"/>
              <w:spacing w:line="360" w:lineRule="auto"/>
              <w:jc w:val="center"/>
              <w:rPr>
                <w:rFonts w:hint="eastAsia" w:asciiTheme="minorEastAsia" w:hAnsiTheme="minorEastAsia"/>
                <w:sz w:val="24"/>
              </w:rPr>
            </w:pPr>
          </w:p>
        </w:tc>
        <w:tc>
          <w:tcPr>
            <w:tcW w:w="3162" w:type="dxa"/>
            <w:tcBorders>
              <w:top w:val="nil"/>
              <w:left w:val="nil"/>
              <w:bottom w:val="single" w:color="auto" w:sz="6" w:space="0"/>
              <w:right w:val="single" w:color="auto" w:sz="6" w:space="0"/>
            </w:tcBorders>
            <w:tcMar>
              <w:left w:w="105" w:type="dxa"/>
              <w:right w:w="105" w:type="dxa"/>
            </w:tcMar>
            <w:vAlign w:val="center"/>
          </w:tcPr>
          <w:p w14:paraId="5D0303F0">
            <w:pPr>
              <w:widowControl/>
              <w:snapToGrid w:val="0"/>
              <w:spacing w:line="360" w:lineRule="auto"/>
              <w:jc w:val="center"/>
              <w:rPr>
                <w:rFonts w:hint="eastAsia" w:asciiTheme="minorEastAsia" w:hAnsiTheme="minorEastAsia"/>
                <w:sz w:val="24"/>
              </w:rPr>
            </w:pPr>
          </w:p>
        </w:tc>
        <w:tc>
          <w:tcPr>
            <w:tcW w:w="3162" w:type="dxa"/>
            <w:tcBorders>
              <w:top w:val="nil"/>
              <w:left w:val="nil"/>
              <w:bottom w:val="single" w:color="auto" w:sz="6" w:space="0"/>
              <w:right w:val="single" w:color="auto" w:sz="6" w:space="0"/>
            </w:tcBorders>
            <w:tcMar>
              <w:left w:w="105" w:type="dxa"/>
              <w:right w:w="105" w:type="dxa"/>
            </w:tcMar>
            <w:vAlign w:val="center"/>
          </w:tcPr>
          <w:p w14:paraId="57BAEB52">
            <w:pPr>
              <w:widowControl/>
              <w:snapToGrid w:val="0"/>
              <w:spacing w:line="360" w:lineRule="auto"/>
              <w:jc w:val="center"/>
              <w:rPr>
                <w:rFonts w:hint="eastAsia" w:asciiTheme="minorEastAsia" w:hAnsiTheme="minorEastAsia"/>
                <w:sz w:val="24"/>
              </w:rPr>
            </w:pPr>
          </w:p>
        </w:tc>
        <w:tc>
          <w:tcPr>
            <w:tcW w:w="1359" w:type="dxa"/>
            <w:tcBorders>
              <w:top w:val="nil"/>
              <w:left w:val="nil"/>
              <w:bottom w:val="single" w:color="auto" w:sz="6" w:space="0"/>
              <w:right w:val="single" w:color="auto" w:sz="6" w:space="0"/>
            </w:tcBorders>
            <w:tcMar>
              <w:left w:w="105" w:type="dxa"/>
              <w:right w:w="105" w:type="dxa"/>
            </w:tcMar>
            <w:vAlign w:val="center"/>
          </w:tcPr>
          <w:p w14:paraId="38E2A086">
            <w:pPr>
              <w:widowControl/>
              <w:snapToGrid w:val="0"/>
              <w:spacing w:line="360" w:lineRule="auto"/>
              <w:jc w:val="center"/>
              <w:rPr>
                <w:rFonts w:hint="eastAsia" w:asciiTheme="minorEastAsia" w:hAnsiTheme="minorEastAsia"/>
                <w:sz w:val="24"/>
              </w:rPr>
            </w:pPr>
          </w:p>
        </w:tc>
      </w:tr>
      <w:tr w14:paraId="43111799">
        <w:tblPrEx>
          <w:tblCellMar>
            <w:top w:w="0" w:type="dxa"/>
            <w:left w:w="0" w:type="dxa"/>
            <w:bottom w:w="0" w:type="dxa"/>
            <w:right w:w="0" w:type="dxa"/>
          </w:tblCellMar>
        </w:tblPrEx>
        <w:trPr>
          <w:tblCellSpacing w:w="0" w:type="dxa"/>
          <w:jc w:val="center"/>
        </w:trPr>
        <w:tc>
          <w:tcPr>
            <w:tcW w:w="840" w:type="dxa"/>
            <w:tcBorders>
              <w:top w:val="nil"/>
              <w:left w:val="single" w:color="auto" w:sz="6" w:space="0"/>
              <w:bottom w:val="single" w:color="auto" w:sz="6" w:space="0"/>
              <w:right w:val="single" w:color="auto" w:sz="6" w:space="0"/>
            </w:tcBorders>
            <w:tcMar>
              <w:left w:w="105" w:type="dxa"/>
              <w:right w:w="105" w:type="dxa"/>
            </w:tcMar>
            <w:vAlign w:val="center"/>
          </w:tcPr>
          <w:p w14:paraId="34FC04A9">
            <w:pPr>
              <w:widowControl/>
              <w:snapToGrid w:val="0"/>
              <w:spacing w:line="360" w:lineRule="auto"/>
              <w:jc w:val="center"/>
              <w:rPr>
                <w:rFonts w:hint="eastAsia" w:asciiTheme="minorEastAsia" w:hAnsiTheme="minorEastAsia"/>
                <w:sz w:val="24"/>
              </w:rPr>
            </w:pPr>
          </w:p>
        </w:tc>
        <w:tc>
          <w:tcPr>
            <w:tcW w:w="3162" w:type="dxa"/>
            <w:tcBorders>
              <w:top w:val="nil"/>
              <w:left w:val="nil"/>
              <w:bottom w:val="single" w:color="auto" w:sz="6" w:space="0"/>
              <w:right w:val="single" w:color="auto" w:sz="6" w:space="0"/>
            </w:tcBorders>
            <w:tcMar>
              <w:left w:w="105" w:type="dxa"/>
              <w:right w:w="105" w:type="dxa"/>
            </w:tcMar>
            <w:vAlign w:val="center"/>
          </w:tcPr>
          <w:p w14:paraId="434B91A6">
            <w:pPr>
              <w:widowControl/>
              <w:snapToGrid w:val="0"/>
              <w:spacing w:line="360" w:lineRule="auto"/>
              <w:jc w:val="center"/>
              <w:rPr>
                <w:rFonts w:hint="eastAsia" w:asciiTheme="minorEastAsia" w:hAnsiTheme="minorEastAsia"/>
                <w:sz w:val="24"/>
              </w:rPr>
            </w:pPr>
          </w:p>
        </w:tc>
        <w:tc>
          <w:tcPr>
            <w:tcW w:w="3162" w:type="dxa"/>
            <w:tcBorders>
              <w:top w:val="nil"/>
              <w:left w:val="nil"/>
              <w:bottom w:val="single" w:color="auto" w:sz="6" w:space="0"/>
              <w:right w:val="single" w:color="auto" w:sz="6" w:space="0"/>
            </w:tcBorders>
            <w:tcMar>
              <w:left w:w="105" w:type="dxa"/>
              <w:right w:w="105" w:type="dxa"/>
            </w:tcMar>
            <w:vAlign w:val="center"/>
          </w:tcPr>
          <w:p w14:paraId="451F675E">
            <w:pPr>
              <w:widowControl/>
              <w:snapToGrid w:val="0"/>
              <w:spacing w:line="360" w:lineRule="auto"/>
              <w:jc w:val="center"/>
              <w:rPr>
                <w:rFonts w:hint="eastAsia" w:asciiTheme="minorEastAsia" w:hAnsiTheme="minorEastAsia"/>
                <w:sz w:val="24"/>
              </w:rPr>
            </w:pPr>
          </w:p>
        </w:tc>
        <w:tc>
          <w:tcPr>
            <w:tcW w:w="1359" w:type="dxa"/>
            <w:tcBorders>
              <w:top w:val="nil"/>
              <w:left w:val="nil"/>
              <w:bottom w:val="single" w:color="auto" w:sz="6" w:space="0"/>
              <w:right w:val="single" w:color="auto" w:sz="6" w:space="0"/>
            </w:tcBorders>
            <w:tcMar>
              <w:left w:w="105" w:type="dxa"/>
              <w:right w:w="105" w:type="dxa"/>
            </w:tcMar>
            <w:vAlign w:val="center"/>
          </w:tcPr>
          <w:p w14:paraId="60CD67B9">
            <w:pPr>
              <w:widowControl/>
              <w:snapToGrid w:val="0"/>
              <w:spacing w:line="360" w:lineRule="auto"/>
              <w:jc w:val="center"/>
              <w:rPr>
                <w:rFonts w:hint="eastAsia" w:asciiTheme="minorEastAsia" w:hAnsiTheme="minorEastAsia"/>
                <w:sz w:val="24"/>
              </w:rPr>
            </w:pPr>
          </w:p>
        </w:tc>
      </w:tr>
      <w:tr w14:paraId="1A798D83">
        <w:tblPrEx>
          <w:tblCellMar>
            <w:top w:w="0" w:type="dxa"/>
            <w:left w:w="0" w:type="dxa"/>
            <w:bottom w:w="0" w:type="dxa"/>
            <w:right w:w="0" w:type="dxa"/>
          </w:tblCellMar>
        </w:tblPrEx>
        <w:trPr>
          <w:tblCellSpacing w:w="0" w:type="dxa"/>
          <w:jc w:val="center"/>
        </w:trPr>
        <w:tc>
          <w:tcPr>
            <w:tcW w:w="840" w:type="dxa"/>
            <w:tcBorders>
              <w:top w:val="nil"/>
              <w:left w:val="single" w:color="auto" w:sz="6" w:space="0"/>
              <w:bottom w:val="single" w:color="auto" w:sz="6" w:space="0"/>
              <w:right w:val="single" w:color="auto" w:sz="6" w:space="0"/>
            </w:tcBorders>
            <w:tcMar>
              <w:left w:w="105" w:type="dxa"/>
              <w:right w:w="105" w:type="dxa"/>
            </w:tcMar>
            <w:vAlign w:val="center"/>
          </w:tcPr>
          <w:p w14:paraId="01C317EF">
            <w:pPr>
              <w:widowControl/>
              <w:snapToGrid w:val="0"/>
              <w:spacing w:line="360" w:lineRule="auto"/>
              <w:jc w:val="center"/>
              <w:rPr>
                <w:rFonts w:hint="eastAsia" w:asciiTheme="minorEastAsia" w:hAnsiTheme="minorEastAsia"/>
                <w:sz w:val="24"/>
              </w:rPr>
            </w:pPr>
          </w:p>
        </w:tc>
        <w:tc>
          <w:tcPr>
            <w:tcW w:w="3162" w:type="dxa"/>
            <w:tcBorders>
              <w:top w:val="nil"/>
              <w:left w:val="nil"/>
              <w:bottom w:val="single" w:color="auto" w:sz="6" w:space="0"/>
              <w:right w:val="single" w:color="auto" w:sz="6" w:space="0"/>
            </w:tcBorders>
            <w:tcMar>
              <w:left w:w="105" w:type="dxa"/>
              <w:right w:w="105" w:type="dxa"/>
            </w:tcMar>
            <w:vAlign w:val="center"/>
          </w:tcPr>
          <w:p w14:paraId="3479ED03">
            <w:pPr>
              <w:widowControl/>
              <w:snapToGrid w:val="0"/>
              <w:spacing w:line="360" w:lineRule="auto"/>
              <w:jc w:val="center"/>
              <w:rPr>
                <w:rFonts w:hint="eastAsia" w:asciiTheme="minorEastAsia" w:hAnsiTheme="minorEastAsia"/>
                <w:sz w:val="24"/>
              </w:rPr>
            </w:pPr>
          </w:p>
        </w:tc>
        <w:tc>
          <w:tcPr>
            <w:tcW w:w="3162" w:type="dxa"/>
            <w:tcBorders>
              <w:top w:val="nil"/>
              <w:left w:val="nil"/>
              <w:bottom w:val="single" w:color="auto" w:sz="6" w:space="0"/>
              <w:right w:val="single" w:color="auto" w:sz="6" w:space="0"/>
            </w:tcBorders>
            <w:tcMar>
              <w:left w:w="105" w:type="dxa"/>
              <w:right w:w="105" w:type="dxa"/>
            </w:tcMar>
            <w:vAlign w:val="center"/>
          </w:tcPr>
          <w:p w14:paraId="448666FB">
            <w:pPr>
              <w:widowControl/>
              <w:snapToGrid w:val="0"/>
              <w:spacing w:line="360" w:lineRule="auto"/>
              <w:jc w:val="center"/>
              <w:rPr>
                <w:rFonts w:hint="eastAsia" w:asciiTheme="minorEastAsia" w:hAnsiTheme="minorEastAsia"/>
                <w:sz w:val="24"/>
              </w:rPr>
            </w:pPr>
          </w:p>
        </w:tc>
        <w:tc>
          <w:tcPr>
            <w:tcW w:w="1359" w:type="dxa"/>
            <w:tcBorders>
              <w:top w:val="nil"/>
              <w:left w:val="nil"/>
              <w:bottom w:val="single" w:color="auto" w:sz="6" w:space="0"/>
              <w:right w:val="single" w:color="auto" w:sz="6" w:space="0"/>
            </w:tcBorders>
            <w:tcMar>
              <w:left w:w="105" w:type="dxa"/>
              <w:right w:w="105" w:type="dxa"/>
            </w:tcMar>
            <w:vAlign w:val="center"/>
          </w:tcPr>
          <w:p w14:paraId="73298253">
            <w:pPr>
              <w:widowControl/>
              <w:snapToGrid w:val="0"/>
              <w:spacing w:line="360" w:lineRule="auto"/>
              <w:jc w:val="center"/>
              <w:rPr>
                <w:rFonts w:hint="eastAsia" w:asciiTheme="minorEastAsia" w:hAnsiTheme="minorEastAsia"/>
                <w:sz w:val="24"/>
              </w:rPr>
            </w:pPr>
          </w:p>
        </w:tc>
      </w:tr>
      <w:tr w14:paraId="496D6EF4">
        <w:tblPrEx>
          <w:tblCellMar>
            <w:top w:w="0" w:type="dxa"/>
            <w:left w:w="0" w:type="dxa"/>
            <w:bottom w:w="0" w:type="dxa"/>
            <w:right w:w="0" w:type="dxa"/>
          </w:tblCellMar>
        </w:tblPrEx>
        <w:trPr>
          <w:tblCellSpacing w:w="0" w:type="dxa"/>
          <w:jc w:val="center"/>
        </w:trPr>
        <w:tc>
          <w:tcPr>
            <w:tcW w:w="840" w:type="dxa"/>
            <w:tcBorders>
              <w:top w:val="nil"/>
              <w:left w:val="single" w:color="auto" w:sz="6" w:space="0"/>
              <w:bottom w:val="single" w:color="auto" w:sz="6" w:space="0"/>
              <w:right w:val="single" w:color="auto" w:sz="6" w:space="0"/>
            </w:tcBorders>
            <w:tcMar>
              <w:left w:w="105" w:type="dxa"/>
              <w:right w:w="105" w:type="dxa"/>
            </w:tcMar>
            <w:vAlign w:val="center"/>
          </w:tcPr>
          <w:p w14:paraId="443688AC">
            <w:pPr>
              <w:pStyle w:val="13"/>
              <w:widowControl/>
              <w:snapToGrid w:val="0"/>
              <w:spacing w:before="120" w:beforeAutospacing="0" w:afterAutospacing="0" w:line="360" w:lineRule="auto"/>
              <w:jc w:val="center"/>
              <w:rPr>
                <w:rFonts w:hint="eastAsia" w:asciiTheme="minorEastAsia" w:hAnsiTheme="minorEastAsia"/>
              </w:rPr>
            </w:pPr>
            <w:r>
              <w:rPr>
                <w:rFonts w:hint="eastAsia" w:cs="宋体" w:asciiTheme="minorEastAsia" w:hAnsiTheme="minorEastAsia"/>
              </w:rPr>
              <w:t>……</w:t>
            </w:r>
          </w:p>
        </w:tc>
        <w:tc>
          <w:tcPr>
            <w:tcW w:w="3162" w:type="dxa"/>
            <w:tcBorders>
              <w:top w:val="nil"/>
              <w:left w:val="nil"/>
              <w:bottom w:val="single" w:color="auto" w:sz="6" w:space="0"/>
              <w:right w:val="single" w:color="auto" w:sz="6" w:space="0"/>
            </w:tcBorders>
            <w:tcMar>
              <w:left w:w="105" w:type="dxa"/>
              <w:right w:w="105" w:type="dxa"/>
            </w:tcMar>
            <w:vAlign w:val="center"/>
          </w:tcPr>
          <w:p w14:paraId="7B25FD28">
            <w:pPr>
              <w:widowControl/>
              <w:snapToGrid w:val="0"/>
              <w:spacing w:line="360" w:lineRule="auto"/>
              <w:jc w:val="center"/>
              <w:rPr>
                <w:rFonts w:hint="eastAsia" w:asciiTheme="minorEastAsia" w:hAnsiTheme="minorEastAsia"/>
                <w:sz w:val="24"/>
              </w:rPr>
            </w:pPr>
          </w:p>
        </w:tc>
        <w:tc>
          <w:tcPr>
            <w:tcW w:w="3162" w:type="dxa"/>
            <w:tcBorders>
              <w:top w:val="nil"/>
              <w:left w:val="nil"/>
              <w:bottom w:val="single" w:color="auto" w:sz="6" w:space="0"/>
              <w:right w:val="single" w:color="auto" w:sz="6" w:space="0"/>
            </w:tcBorders>
            <w:tcMar>
              <w:left w:w="105" w:type="dxa"/>
              <w:right w:w="105" w:type="dxa"/>
            </w:tcMar>
            <w:vAlign w:val="center"/>
          </w:tcPr>
          <w:p w14:paraId="7B6DDD17">
            <w:pPr>
              <w:widowControl/>
              <w:snapToGrid w:val="0"/>
              <w:spacing w:line="360" w:lineRule="auto"/>
              <w:jc w:val="center"/>
              <w:rPr>
                <w:rFonts w:hint="eastAsia" w:asciiTheme="minorEastAsia" w:hAnsiTheme="minorEastAsia"/>
                <w:sz w:val="24"/>
              </w:rPr>
            </w:pPr>
          </w:p>
        </w:tc>
        <w:tc>
          <w:tcPr>
            <w:tcW w:w="1359" w:type="dxa"/>
            <w:tcBorders>
              <w:top w:val="nil"/>
              <w:left w:val="nil"/>
              <w:bottom w:val="single" w:color="auto" w:sz="6" w:space="0"/>
              <w:right w:val="single" w:color="auto" w:sz="6" w:space="0"/>
            </w:tcBorders>
            <w:tcMar>
              <w:left w:w="105" w:type="dxa"/>
              <w:right w:w="105" w:type="dxa"/>
            </w:tcMar>
            <w:vAlign w:val="center"/>
          </w:tcPr>
          <w:p w14:paraId="40C7BB68">
            <w:pPr>
              <w:widowControl/>
              <w:snapToGrid w:val="0"/>
              <w:spacing w:line="360" w:lineRule="auto"/>
              <w:jc w:val="center"/>
              <w:rPr>
                <w:rFonts w:hint="eastAsia" w:asciiTheme="minorEastAsia" w:hAnsiTheme="minorEastAsia"/>
                <w:sz w:val="24"/>
              </w:rPr>
            </w:pPr>
          </w:p>
        </w:tc>
      </w:tr>
    </w:tbl>
    <w:p w14:paraId="06466F3F">
      <w:pPr>
        <w:pStyle w:val="13"/>
        <w:widowControl/>
        <w:spacing w:beforeAutospacing="0" w:afterAutospacing="0" w:line="360" w:lineRule="auto"/>
        <w:ind w:firstLine="480" w:firstLineChars="200"/>
        <w:jc w:val="both"/>
        <w:rPr>
          <w:rFonts w:hint="eastAsia" w:cs="宋体" w:asciiTheme="minorEastAsia" w:hAnsiTheme="minorEastAsia"/>
          <w:color w:val="000000"/>
        </w:rPr>
      </w:pPr>
    </w:p>
    <w:p w14:paraId="572666E1">
      <w:pPr>
        <w:pStyle w:val="13"/>
        <w:widowControl/>
        <w:spacing w:beforeAutospacing="0" w:afterAutospacing="0" w:line="360" w:lineRule="auto"/>
        <w:ind w:firstLine="480" w:firstLineChars="200"/>
        <w:jc w:val="both"/>
        <w:rPr>
          <w:rFonts w:hint="eastAsia" w:cs="宋体" w:asciiTheme="minorEastAsia" w:hAnsiTheme="minorEastAsia"/>
          <w:color w:val="000000"/>
        </w:rPr>
      </w:pPr>
    </w:p>
    <w:p w14:paraId="774598E8">
      <w:pPr>
        <w:pStyle w:val="13"/>
        <w:widowControl/>
        <w:spacing w:beforeAutospacing="0" w:afterAutospacing="0" w:line="360" w:lineRule="auto"/>
        <w:ind w:firstLine="480" w:firstLineChars="200"/>
        <w:jc w:val="both"/>
        <w:rPr>
          <w:rFonts w:hint="eastAsia" w:asciiTheme="minorEastAsia" w:hAnsiTheme="minorEastAsia"/>
        </w:rPr>
      </w:pPr>
      <w:r>
        <w:rPr>
          <w:rFonts w:hint="eastAsia" w:cs="宋体" w:asciiTheme="minorEastAsia" w:hAnsiTheme="minorEastAsia"/>
          <w:color w:val="000000"/>
        </w:rPr>
        <w:t>法定代表人或法定代表人授权代表（签字或盖章）:</w:t>
      </w:r>
      <w:r>
        <w:rPr>
          <w:rFonts w:hint="eastAsia" w:cs="宋体" w:asciiTheme="minorEastAsia" w:hAnsiTheme="minorEastAsia"/>
          <w:color w:val="000000"/>
          <w:u w:val="single"/>
        </w:rPr>
        <w:t>    </w:t>
      </w:r>
    </w:p>
    <w:p w14:paraId="4407EDF3">
      <w:pPr>
        <w:pStyle w:val="13"/>
        <w:widowControl/>
        <w:spacing w:beforeAutospacing="0" w:afterAutospacing="0" w:line="360" w:lineRule="auto"/>
        <w:ind w:firstLine="480" w:firstLineChars="200"/>
        <w:rPr>
          <w:rFonts w:hint="eastAsia" w:cs="宋体" w:asciiTheme="minorEastAsia" w:hAnsiTheme="minorEastAsia"/>
          <w:color w:val="000000"/>
        </w:rPr>
      </w:pPr>
    </w:p>
    <w:p w14:paraId="7F404BE1">
      <w:pPr>
        <w:pStyle w:val="13"/>
        <w:widowControl/>
        <w:spacing w:beforeAutospacing="0" w:afterAutospacing="0" w:line="360" w:lineRule="auto"/>
        <w:ind w:firstLine="480" w:firstLineChars="200"/>
        <w:rPr>
          <w:rFonts w:hint="eastAsia" w:cs="宋体" w:asciiTheme="minorEastAsia" w:hAnsiTheme="minorEastAsia"/>
          <w:color w:val="000000"/>
          <w:u w:val="single"/>
        </w:rPr>
      </w:pPr>
      <w:r>
        <w:rPr>
          <w:rFonts w:hint="eastAsia" w:cs="宋体" w:asciiTheme="minorEastAsia" w:hAnsiTheme="minorEastAsia"/>
          <w:color w:val="000000"/>
        </w:rPr>
        <w:t>供应商名称（盖章）：</w:t>
      </w:r>
      <w:r>
        <w:rPr>
          <w:rFonts w:hint="eastAsia" w:cs="宋体" w:asciiTheme="minorEastAsia" w:hAnsiTheme="minorEastAsia"/>
          <w:color w:val="000000"/>
          <w:u w:val="single"/>
        </w:rPr>
        <w:t xml:space="preserve">                                </w:t>
      </w:r>
    </w:p>
    <w:p w14:paraId="60ABF750">
      <w:pPr>
        <w:pStyle w:val="13"/>
        <w:widowControl/>
        <w:spacing w:beforeAutospacing="0" w:afterAutospacing="0" w:line="360" w:lineRule="auto"/>
        <w:ind w:firstLine="480" w:firstLineChars="200"/>
        <w:rPr>
          <w:rFonts w:hint="eastAsia" w:cs="宋体" w:asciiTheme="minorEastAsia" w:hAnsiTheme="minorEastAsia"/>
          <w:color w:val="000000"/>
        </w:rPr>
      </w:pPr>
    </w:p>
    <w:p w14:paraId="403BAC94">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时间：</w:t>
      </w:r>
      <w:r>
        <w:rPr>
          <w:rFonts w:hint="eastAsia" w:cs="宋体" w:asciiTheme="minorEastAsia" w:hAnsiTheme="minorEastAsia"/>
          <w:color w:val="000000"/>
          <w:u w:val="single"/>
        </w:rPr>
        <w:t>     </w:t>
      </w:r>
      <w:r>
        <w:rPr>
          <w:rFonts w:hint="eastAsia" w:cs="宋体" w:asciiTheme="minorEastAsia" w:hAnsiTheme="minorEastAsia"/>
          <w:color w:val="000000"/>
        </w:rPr>
        <w:t>年</w:t>
      </w:r>
      <w:r>
        <w:rPr>
          <w:rFonts w:hint="eastAsia" w:cs="宋体" w:asciiTheme="minorEastAsia" w:hAnsiTheme="minorEastAsia"/>
          <w:color w:val="000000"/>
          <w:u w:val="single"/>
        </w:rPr>
        <w:t>     </w:t>
      </w:r>
      <w:r>
        <w:rPr>
          <w:rFonts w:hint="eastAsia" w:cs="宋体" w:asciiTheme="minorEastAsia" w:hAnsiTheme="minorEastAsia"/>
          <w:color w:val="000000"/>
        </w:rPr>
        <w:t>月</w:t>
      </w:r>
      <w:r>
        <w:rPr>
          <w:rFonts w:hint="eastAsia" w:cs="宋体" w:asciiTheme="minorEastAsia" w:hAnsiTheme="minorEastAsia"/>
          <w:color w:val="000000"/>
          <w:u w:val="single"/>
        </w:rPr>
        <w:t>    </w:t>
      </w:r>
      <w:r>
        <w:rPr>
          <w:rFonts w:hint="eastAsia" w:cs="宋体" w:asciiTheme="minorEastAsia" w:hAnsiTheme="minorEastAsia"/>
          <w:color w:val="000000"/>
        </w:rPr>
        <w:t>日</w:t>
      </w:r>
    </w:p>
    <w:p w14:paraId="4C586E8D">
      <w:pPr>
        <w:pStyle w:val="13"/>
        <w:widowControl/>
        <w:spacing w:beforeAutospacing="0" w:afterAutospacing="0" w:line="360" w:lineRule="auto"/>
        <w:rPr>
          <w:rFonts w:hint="eastAsia" w:cs="宋体" w:asciiTheme="minorEastAsia" w:hAnsiTheme="minorEastAsia"/>
          <w:color w:val="000000"/>
        </w:rPr>
      </w:pPr>
    </w:p>
    <w:p w14:paraId="7795E751">
      <w:pPr>
        <w:pStyle w:val="13"/>
        <w:widowControl/>
        <w:spacing w:beforeAutospacing="0" w:afterAutospacing="0" w:line="360" w:lineRule="auto"/>
        <w:rPr>
          <w:rFonts w:hint="eastAsia" w:cs="宋体" w:asciiTheme="minorEastAsia" w:hAnsiTheme="minorEastAsia"/>
          <w:color w:val="000000"/>
        </w:rPr>
      </w:pPr>
    </w:p>
    <w:p w14:paraId="4CD8154C">
      <w:pPr>
        <w:pStyle w:val="13"/>
        <w:widowControl/>
        <w:spacing w:beforeAutospacing="0" w:afterAutospacing="0" w:line="360" w:lineRule="auto"/>
        <w:rPr>
          <w:rFonts w:hint="eastAsia" w:cs="宋体" w:asciiTheme="minorEastAsia" w:hAnsiTheme="minorEastAsia"/>
          <w:color w:val="000000"/>
        </w:rPr>
      </w:pPr>
    </w:p>
    <w:p w14:paraId="18B5DCA7">
      <w:pPr>
        <w:pStyle w:val="13"/>
        <w:widowControl/>
        <w:spacing w:beforeAutospacing="0" w:afterAutospacing="0" w:line="360" w:lineRule="auto"/>
        <w:rPr>
          <w:rFonts w:hint="eastAsia" w:cs="宋体" w:asciiTheme="minorEastAsia" w:hAnsiTheme="minorEastAsia"/>
          <w:color w:val="000000"/>
        </w:rPr>
      </w:pPr>
    </w:p>
    <w:p w14:paraId="13DEB68E">
      <w:pPr>
        <w:pStyle w:val="13"/>
        <w:widowControl/>
        <w:spacing w:beforeAutospacing="0" w:afterAutospacing="0" w:line="360" w:lineRule="auto"/>
        <w:rPr>
          <w:rFonts w:hint="eastAsia" w:cs="宋体" w:asciiTheme="minorEastAsia" w:hAnsiTheme="minorEastAsia"/>
          <w:color w:val="000000"/>
        </w:rPr>
      </w:pPr>
    </w:p>
    <w:p w14:paraId="620E2ECA">
      <w:pPr>
        <w:pStyle w:val="13"/>
        <w:widowControl/>
        <w:spacing w:beforeAutospacing="0" w:afterAutospacing="0" w:line="360" w:lineRule="auto"/>
        <w:rPr>
          <w:rFonts w:hint="eastAsia" w:cs="宋体" w:asciiTheme="minorEastAsia" w:hAnsiTheme="minorEastAsia"/>
          <w:color w:val="000000"/>
        </w:rPr>
      </w:pPr>
    </w:p>
    <w:p w14:paraId="5525E6FB">
      <w:pPr>
        <w:pStyle w:val="13"/>
        <w:widowControl/>
        <w:spacing w:beforeAutospacing="0" w:afterAutospacing="0" w:line="360" w:lineRule="auto"/>
        <w:rPr>
          <w:rFonts w:hint="eastAsia" w:cs="宋体" w:asciiTheme="minorEastAsia" w:hAnsiTheme="minorEastAsia"/>
          <w:color w:val="000000"/>
        </w:rPr>
      </w:pPr>
    </w:p>
    <w:p w14:paraId="2A1AFEBB">
      <w:pPr>
        <w:pStyle w:val="13"/>
        <w:widowControl/>
        <w:spacing w:beforeAutospacing="0" w:afterAutospacing="0" w:line="360" w:lineRule="auto"/>
        <w:rPr>
          <w:rFonts w:hint="eastAsia" w:cs="宋体" w:asciiTheme="minorEastAsia" w:hAnsiTheme="minorEastAsia"/>
          <w:color w:val="000000"/>
        </w:rPr>
      </w:pPr>
    </w:p>
    <w:p w14:paraId="68AB13B6">
      <w:pPr>
        <w:pStyle w:val="13"/>
        <w:widowControl/>
        <w:spacing w:beforeAutospacing="0" w:afterAutospacing="0" w:line="360" w:lineRule="auto"/>
        <w:rPr>
          <w:rFonts w:hint="eastAsia" w:cs="宋体" w:asciiTheme="minorEastAsia" w:hAnsiTheme="minorEastAsia"/>
          <w:color w:val="000000"/>
        </w:rPr>
      </w:pPr>
      <w:bookmarkStart w:id="94" w:name="_Toc31739"/>
    </w:p>
    <w:p w14:paraId="06202DC6">
      <w:pPr>
        <w:pStyle w:val="13"/>
        <w:widowControl/>
        <w:spacing w:beforeAutospacing="0" w:afterAutospacing="0" w:line="360" w:lineRule="auto"/>
        <w:rPr>
          <w:rFonts w:hint="eastAsia" w:cs="宋体" w:asciiTheme="minorEastAsia" w:hAnsiTheme="minorEastAsia"/>
          <w:color w:val="000000"/>
        </w:rPr>
      </w:pPr>
    </w:p>
    <w:p w14:paraId="1B88B3B0">
      <w:pPr>
        <w:pStyle w:val="13"/>
        <w:widowControl/>
        <w:spacing w:beforeAutospacing="0" w:afterAutospacing="0" w:line="360" w:lineRule="auto"/>
        <w:rPr>
          <w:rFonts w:hint="eastAsia" w:cs="宋体" w:asciiTheme="minorEastAsia" w:hAnsiTheme="minorEastAsia"/>
          <w:color w:val="000000"/>
        </w:rPr>
      </w:pPr>
    </w:p>
    <w:p w14:paraId="66622799">
      <w:pPr>
        <w:pStyle w:val="13"/>
        <w:widowControl/>
        <w:spacing w:beforeAutospacing="0" w:afterAutospacing="0" w:line="360" w:lineRule="auto"/>
        <w:rPr>
          <w:rFonts w:hint="eastAsia" w:cs="宋体" w:asciiTheme="minorEastAsia" w:hAnsiTheme="minorEastAsia"/>
          <w:color w:val="000000"/>
        </w:rPr>
      </w:pPr>
    </w:p>
    <w:p w14:paraId="5E960F6B">
      <w:pPr>
        <w:pStyle w:val="13"/>
        <w:widowControl/>
        <w:spacing w:beforeAutospacing="0" w:afterAutospacing="0" w:line="360" w:lineRule="auto"/>
        <w:rPr>
          <w:rFonts w:hint="eastAsia" w:cs="宋体" w:asciiTheme="minorEastAsia" w:hAnsiTheme="minorEastAsia"/>
          <w:color w:val="000000"/>
        </w:rPr>
      </w:pPr>
    </w:p>
    <w:p w14:paraId="3DDA58DC">
      <w:pPr>
        <w:pStyle w:val="13"/>
        <w:widowControl/>
        <w:spacing w:beforeAutospacing="0" w:afterAutospacing="0" w:line="360" w:lineRule="auto"/>
        <w:rPr>
          <w:rFonts w:hint="eastAsia" w:asciiTheme="minorEastAsia" w:hAnsiTheme="minorEastAsia" w:eastAsiaTheme="minorEastAsia"/>
          <w:b/>
          <w:lang w:eastAsia="zh-CN"/>
        </w:rPr>
      </w:pPr>
      <w:r>
        <w:rPr>
          <w:rFonts w:hint="eastAsia" w:cs="宋体" w:asciiTheme="minorEastAsia" w:hAnsiTheme="minorEastAsia"/>
          <w:b/>
          <w:color w:val="000000"/>
        </w:rPr>
        <w:t>格式</w:t>
      </w:r>
      <w:bookmarkEnd w:id="94"/>
      <w:r>
        <w:rPr>
          <w:rFonts w:hint="eastAsia" w:cs="宋体" w:asciiTheme="minorEastAsia" w:hAnsiTheme="minorEastAsia"/>
          <w:b/>
          <w:color w:val="000000"/>
          <w:lang w:val="en-US" w:eastAsia="zh-CN"/>
        </w:rPr>
        <w:t>5</w:t>
      </w:r>
    </w:p>
    <w:p w14:paraId="7C8FB35B">
      <w:pPr>
        <w:pStyle w:val="13"/>
        <w:widowControl/>
        <w:spacing w:beforeAutospacing="0" w:afterAutospacing="0" w:line="360" w:lineRule="auto"/>
        <w:ind w:firstLine="645"/>
        <w:jc w:val="center"/>
        <w:rPr>
          <w:rFonts w:hint="eastAsia" w:asciiTheme="minorEastAsia" w:hAnsiTheme="minorEastAsia"/>
          <w:b/>
        </w:rPr>
      </w:pPr>
      <w:r>
        <w:rPr>
          <w:rStyle w:val="16"/>
          <w:rFonts w:hint="eastAsia" w:cs="宋体" w:asciiTheme="minorEastAsia" w:hAnsiTheme="minorEastAsia"/>
          <w:color w:val="000000"/>
        </w:rPr>
        <w:t>供应商类似业绩一览表</w:t>
      </w:r>
      <w:r>
        <w:rPr>
          <w:rFonts w:hint="eastAsia" w:cs="微软雅黑" w:asciiTheme="minorEastAsia" w:hAnsiTheme="minorEastAsia"/>
          <w:b/>
          <w:color w:val="000000"/>
        </w:rPr>
        <w:t> </w:t>
      </w:r>
    </w:p>
    <w:tbl>
      <w:tblPr>
        <w:tblStyle w:val="14"/>
        <w:tblW w:w="8522" w:type="dxa"/>
        <w:jc w:val="center"/>
        <w:tblCellSpacing w:w="0" w:type="dxa"/>
        <w:tblLayout w:type="autofit"/>
        <w:tblCellMar>
          <w:top w:w="0" w:type="dxa"/>
          <w:left w:w="0" w:type="dxa"/>
          <w:bottom w:w="0" w:type="dxa"/>
          <w:right w:w="0" w:type="dxa"/>
        </w:tblCellMar>
      </w:tblPr>
      <w:tblGrid>
        <w:gridCol w:w="672"/>
        <w:gridCol w:w="1188"/>
        <w:gridCol w:w="923"/>
        <w:gridCol w:w="1615"/>
        <w:gridCol w:w="2154"/>
        <w:gridCol w:w="1970"/>
      </w:tblGrid>
      <w:tr w14:paraId="32187BAB">
        <w:tblPrEx>
          <w:tblCellMar>
            <w:top w:w="0" w:type="dxa"/>
            <w:left w:w="0" w:type="dxa"/>
            <w:bottom w:w="0" w:type="dxa"/>
            <w:right w:w="0" w:type="dxa"/>
          </w:tblCellMar>
        </w:tblPrEx>
        <w:trPr>
          <w:tblHeader/>
          <w:tblCellSpacing w:w="0" w:type="dxa"/>
          <w:jc w:val="center"/>
        </w:trPr>
        <w:tc>
          <w:tcPr>
            <w:tcW w:w="67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2FE0962E">
            <w:pPr>
              <w:pStyle w:val="13"/>
              <w:widowControl/>
              <w:snapToGrid w:val="0"/>
              <w:spacing w:beforeAutospacing="0" w:afterAutospacing="0" w:line="360" w:lineRule="auto"/>
              <w:jc w:val="center"/>
              <w:rPr>
                <w:rFonts w:hint="eastAsia" w:asciiTheme="minorEastAsia" w:hAnsiTheme="minorEastAsia"/>
                <w:b/>
              </w:rPr>
            </w:pPr>
            <w:r>
              <w:rPr>
                <w:rFonts w:hint="eastAsia" w:cs="宋体" w:asciiTheme="minorEastAsia" w:hAnsiTheme="minorEastAsia"/>
                <w:b/>
              </w:rPr>
              <w:t>序号</w:t>
            </w:r>
          </w:p>
        </w:tc>
        <w:tc>
          <w:tcPr>
            <w:tcW w:w="1188" w:type="dxa"/>
            <w:tcBorders>
              <w:top w:val="single" w:color="auto" w:sz="6" w:space="0"/>
              <w:left w:val="nil"/>
              <w:bottom w:val="single" w:color="auto" w:sz="6" w:space="0"/>
              <w:right w:val="single" w:color="auto" w:sz="6" w:space="0"/>
            </w:tcBorders>
            <w:tcMar>
              <w:left w:w="105" w:type="dxa"/>
              <w:right w:w="105" w:type="dxa"/>
            </w:tcMar>
            <w:vAlign w:val="center"/>
          </w:tcPr>
          <w:p w14:paraId="55EE40BF">
            <w:pPr>
              <w:pStyle w:val="13"/>
              <w:widowControl/>
              <w:snapToGrid w:val="0"/>
              <w:spacing w:beforeAutospacing="0" w:afterAutospacing="0" w:line="360" w:lineRule="auto"/>
              <w:jc w:val="center"/>
              <w:rPr>
                <w:rFonts w:hint="eastAsia" w:asciiTheme="minorEastAsia" w:hAnsiTheme="minorEastAsia"/>
                <w:b/>
              </w:rPr>
            </w:pPr>
            <w:r>
              <w:rPr>
                <w:rFonts w:hint="eastAsia" w:cs="宋体" w:asciiTheme="minorEastAsia" w:hAnsiTheme="minorEastAsia"/>
                <w:b/>
              </w:rPr>
              <w:t>采购单位名称</w:t>
            </w:r>
          </w:p>
        </w:tc>
        <w:tc>
          <w:tcPr>
            <w:tcW w:w="923" w:type="dxa"/>
            <w:tcBorders>
              <w:top w:val="single" w:color="auto" w:sz="6" w:space="0"/>
              <w:left w:val="nil"/>
              <w:bottom w:val="single" w:color="auto" w:sz="6" w:space="0"/>
              <w:right w:val="single" w:color="auto" w:sz="6" w:space="0"/>
            </w:tcBorders>
            <w:tcMar>
              <w:left w:w="105" w:type="dxa"/>
              <w:right w:w="105" w:type="dxa"/>
            </w:tcMar>
            <w:vAlign w:val="center"/>
          </w:tcPr>
          <w:p w14:paraId="3036B7A7">
            <w:pPr>
              <w:pStyle w:val="13"/>
              <w:widowControl/>
              <w:snapToGrid w:val="0"/>
              <w:spacing w:beforeAutospacing="0" w:afterAutospacing="0" w:line="360" w:lineRule="auto"/>
              <w:jc w:val="center"/>
              <w:rPr>
                <w:rFonts w:hint="eastAsia" w:cs="宋体" w:asciiTheme="minorEastAsia" w:hAnsiTheme="minorEastAsia"/>
                <w:b/>
              </w:rPr>
            </w:pPr>
            <w:r>
              <w:rPr>
                <w:rFonts w:hint="eastAsia" w:cs="宋体" w:asciiTheme="minorEastAsia" w:hAnsiTheme="minorEastAsia"/>
                <w:b/>
              </w:rPr>
              <w:t>项目名称</w:t>
            </w:r>
          </w:p>
        </w:tc>
        <w:tc>
          <w:tcPr>
            <w:tcW w:w="1615" w:type="dxa"/>
            <w:tcBorders>
              <w:top w:val="single" w:color="auto" w:sz="6" w:space="0"/>
              <w:left w:val="nil"/>
              <w:bottom w:val="single" w:color="auto" w:sz="6" w:space="0"/>
              <w:right w:val="single" w:color="auto" w:sz="6" w:space="0"/>
            </w:tcBorders>
            <w:tcMar>
              <w:left w:w="105" w:type="dxa"/>
              <w:right w:w="105" w:type="dxa"/>
            </w:tcMar>
            <w:vAlign w:val="center"/>
          </w:tcPr>
          <w:p w14:paraId="3E305A75">
            <w:pPr>
              <w:pStyle w:val="13"/>
              <w:widowControl/>
              <w:snapToGrid w:val="0"/>
              <w:spacing w:beforeAutospacing="0" w:afterAutospacing="0" w:line="360" w:lineRule="auto"/>
              <w:jc w:val="center"/>
              <w:rPr>
                <w:rFonts w:hint="eastAsia" w:cs="宋体" w:asciiTheme="minorEastAsia" w:hAnsiTheme="minorEastAsia"/>
                <w:b/>
              </w:rPr>
            </w:pPr>
            <w:r>
              <w:rPr>
                <w:rFonts w:hint="eastAsia" w:cs="宋体" w:asciiTheme="minorEastAsia" w:hAnsiTheme="minorEastAsia"/>
                <w:b/>
              </w:rPr>
              <w:t>合同金额</w:t>
            </w:r>
          </w:p>
          <w:p w14:paraId="600B1DB5">
            <w:pPr>
              <w:pStyle w:val="13"/>
              <w:widowControl/>
              <w:snapToGrid w:val="0"/>
              <w:spacing w:beforeAutospacing="0" w:afterAutospacing="0" w:line="360" w:lineRule="auto"/>
              <w:jc w:val="center"/>
              <w:rPr>
                <w:rFonts w:hint="eastAsia" w:cs="宋体" w:asciiTheme="minorEastAsia" w:hAnsiTheme="minorEastAsia"/>
                <w:b/>
              </w:rPr>
            </w:pPr>
            <w:r>
              <w:rPr>
                <w:rFonts w:hint="eastAsia" w:cs="宋体" w:asciiTheme="minorEastAsia" w:hAnsiTheme="minorEastAsia"/>
                <w:b/>
              </w:rPr>
              <w:t>（万元）</w:t>
            </w:r>
          </w:p>
        </w:tc>
        <w:tc>
          <w:tcPr>
            <w:tcW w:w="2154" w:type="dxa"/>
            <w:tcBorders>
              <w:top w:val="single" w:color="auto" w:sz="6" w:space="0"/>
              <w:left w:val="nil"/>
              <w:bottom w:val="nil"/>
              <w:right w:val="single" w:color="auto" w:sz="6" w:space="0"/>
            </w:tcBorders>
            <w:tcMar>
              <w:left w:w="105" w:type="dxa"/>
              <w:right w:w="105" w:type="dxa"/>
            </w:tcMar>
            <w:vAlign w:val="center"/>
          </w:tcPr>
          <w:p w14:paraId="257F957A">
            <w:pPr>
              <w:pStyle w:val="13"/>
              <w:widowControl/>
              <w:snapToGrid w:val="0"/>
              <w:spacing w:beforeAutospacing="0" w:afterAutospacing="0" w:line="360" w:lineRule="auto"/>
              <w:jc w:val="center"/>
              <w:rPr>
                <w:rFonts w:hint="eastAsia" w:cs="宋体" w:asciiTheme="minorEastAsia" w:hAnsiTheme="minorEastAsia"/>
                <w:b/>
              </w:rPr>
            </w:pPr>
            <w:r>
              <w:rPr>
                <w:rFonts w:hint="eastAsia" w:cs="宋体" w:asciiTheme="minorEastAsia" w:hAnsiTheme="minorEastAsia"/>
                <w:b/>
              </w:rPr>
              <w:t>中标</w:t>
            </w:r>
          </w:p>
          <w:p w14:paraId="2A96324D">
            <w:pPr>
              <w:pStyle w:val="13"/>
              <w:widowControl/>
              <w:snapToGrid w:val="0"/>
              <w:spacing w:beforeAutospacing="0" w:afterAutospacing="0" w:line="360" w:lineRule="auto"/>
              <w:jc w:val="center"/>
              <w:rPr>
                <w:rFonts w:hint="eastAsia" w:asciiTheme="minorEastAsia" w:hAnsiTheme="minorEastAsia"/>
                <w:b/>
              </w:rPr>
            </w:pPr>
            <w:r>
              <w:rPr>
                <w:rFonts w:hint="eastAsia" w:cs="宋体" w:asciiTheme="minorEastAsia" w:hAnsiTheme="minorEastAsia"/>
                <w:b/>
              </w:rPr>
              <w:t>（成交）通知书或合同</w:t>
            </w:r>
          </w:p>
        </w:tc>
        <w:tc>
          <w:tcPr>
            <w:tcW w:w="1970" w:type="dxa"/>
            <w:tcBorders>
              <w:top w:val="single" w:color="auto" w:sz="6" w:space="0"/>
              <w:left w:val="nil"/>
              <w:bottom w:val="single" w:color="auto" w:sz="6" w:space="0"/>
              <w:right w:val="single" w:color="auto" w:sz="6" w:space="0"/>
            </w:tcBorders>
            <w:tcMar>
              <w:left w:w="105" w:type="dxa"/>
              <w:right w:w="105" w:type="dxa"/>
            </w:tcMar>
            <w:vAlign w:val="center"/>
          </w:tcPr>
          <w:p w14:paraId="5F148AAA">
            <w:pPr>
              <w:pStyle w:val="13"/>
              <w:widowControl/>
              <w:snapToGrid w:val="0"/>
              <w:spacing w:beforeAutospacing="0" w:afterAutospacing="0" w:line="360" w:lineRule="auto"/>
              <w:jc w:val="center"/>
              <w:rPr>
                <w:rFonts w:hint="eastAsia" w:asciiTheme="minorEastAsia" w:hAnsiTheme="minorEastAsia"/>
                <w:b/>
              </w:rPr>
            </w:pPr>
            <w:r>
              <w:rPr>
                <w:rFonts w:hint="eastAsia" w:cs="宋体" w:asciiTheme="minorEastAsia" w:hAnsiTheme="minorEastAsia"/>
                <w:b/>
              </w:rPr>
              <w:t>采购单位联系人及联系电话</w:t>
            </w:r>
          </w:p>
        </w:tc>
      </w:tr>
      <w:tr w14:paraId="1CF36F78">
        <w:tblPrEx>
          <w:tblCellMar>
            <w:top w:w="0" w:type="dxa"/>
            <w:left w:w="0" w:type="dxa"/>
            <w:bottom w:w="0" w:type="dxa"/>
            <w:right w:w="0" w:type="dxa"/>
          </w:tblCellMar>
        </w:tblPrEx>
        <w:trPr>
          <w:tblCellSpacing w:w="0" w:type="dxa"/>
          <w:jc w:val="center"/>
        </w:trPr>
        <w:tc>
          <w:tcPr>
            <w:tcW w:w="672" w:type="dxa"/>
            <w:tcBorders>
              <w:top w:val="nil"/>
              <w:left w:val="single" w:color="auto" w:sz="6" w:space="0"/>
              <w:bottom w:val="single" w:color="auto" w:sz="6" w:space="0"/>
              <w:right w:val="single" w:color="auto" w:sz="6" w:space="0"/>
            </w:tcBorders>
            <w:tcMar>
              <w:left w:w="105" w:type="dxa"/>
              <w:right w:w="105" w:type="dxa"/>
            </w:tcMar>
            <w:vAlign w:val="center"/>
          </w:tcPr>
          <w:p w14:paraId="704D15C7">
            <w:pPr>
              <w:widowControl/>
              <w:snapToGrid w:val="0"/>
              <w:spacing w:line="360" w:lineRule="auto"/>
              <w:jc w:val="center"/>
              <w:rPr>
                <w:rFonts w:hint="eastAsia" w:asciiTheme="minorEastAsia" w:hAnsiTheme="minorEastAsia"/>
                <w:sz w:val="24"/>
              </w:rPr>
            </w:pPr>
          </w:p>
        </w:tc>
        <w:tc>
          <w:tcPr>
            <w:tcW w:w="1188" w:type="dxa"/>
            <w:tcBorders>
              <w:top w:val="nil"/>
              <w:left w:val="nil"/>
              <w:bottom w:val="single" w:color="auto" w:sz="6" w:space="0"/>
              <w:right w:val="single" w:color="auto" w:sz="6" w:space="0"/>
            </w:tcBorders>
            <w:tcMar>
              <w:left w:w="105" w:type="dxa"/>
              <w:right w:w="105" w:type="dxa"/>
            </w:tcMar>
            <w:vAlign w:val="center"/>
          </w:tcPr>
          <w:p w14:paraId="58495825">
            <w:pPr>
              <w:widowControl/>
              <w:snapToGrid w:val="0"/>
              <w:spacing w:line="360" w:lineRule="auto"/>
              <w:jc w:val="center"/>
              <w:rPr>
                <w:rFonts w:hint="eastAsia" w:asciiTheme="minorEastAsia" w:hAnsiTheme="minorEastAsia"/>
                <w:sz w:val="24"/>
              </w:rPr>
            </w:pPr>
          </w:p>
        </w:tc>
        <w:tc>
          <w:tcPr>
            <w:tcW w:w="923" w:type="dxa"/>
            <w:tcBorders>
              <w:top w:val="nil"/>
              <w:left w:val="nil"/>
              <w:bottom w:val="single" w:color="auto" w:sz="6" w:space="0"/>
              <w:right w:val="single" w:color="auto" w:sz="6" w:space="0"/>
            </w:tcBorders>
            <w:tcMar>
              <w:left w:w="105" w:type="dxa"/>
              <w:right w:w="105" w:type="dxa"/>
            </w:tcMar>
            <w:vAlign w:val="center"/>
          </w:tcPr>
          <w:p w14:paraId="10C7702A">
            <w:pPr>
              <w:widowControl/>
              <w:snapToGrid w:val="0"/>
              <w:spacing w:line="360" w:lineRule="auto"/>
              <w:jc w:val="center"/>
              <w:rPr>
                <w:rFonts w:hint="eastAsia" w:asciiTheme="minorEastAsia" w:hAnsiTheme="minorEastAsia"/>
                <w:sz w:val="24"/>
              </w:rPr>
            </w:pPr>
          </w:p>
        </w:tc>
        <w:tc>
          <w:tcPr>
            <w:tcW w:w="1615" w:type="dxa"/>
            <w:tcBorders>
              <w:top w:val="nil"/>
              <w:left w:val="nil"/>
              <w:bottom w:val="single" w:color="auto" w:sz="6" w:space="0"/>
              <w:right w:val="single" w:color="auto" w:sz="6" w:space="0"/>
            </w:tcBorders>
            <w:tcMar>
              <w:left w:w="105" w:type="dxa"/>
              <w:right w:w="105" w:type="dxa"/>
            </w:tcMar>
            <w:vAlign w:val="center"/>
          </w:tcPr>
          <w:p w14:paraId="4E26C43D">
            <w:pPr>
              <w:widowControl/>
              <w:snapToGrid w:val="0"/>
              <w:spacing w:line="360" w:lineRule="auto"/>
              <w:jc w:val="center"/>
              <w:rPr>
                <w:rFonts w:hint="eastAsia" w:asciiTheme="minorEastAsia" w:hAnsiTheme="minorEastAsia"/>
                <w:sz w:val="24"/>
              </w:rPr>
            </w:pPr>
          </w:p>
        </w:tc>
        <w:tc>
          <w:tcPr>
            <w:tcW w:w="2154" w:type="dxa"/>
            <w:tcBorders>
              <w:top w:val="single" w:color="auto" w:sz="6" w:space="0"/>
              <w:left w:val="nil"/>
              <w:bottom w:val="single" w:color="auto" w:sz="6" w:space="0"/>
              <w:right w:val="single" w:color="auto" w:sz="6" w:space="0"/>
            </w:tcBorders>
            <w:tcMar>
              <w:left w:w="105" w:type="dxa"/>
              <w:right w:w="105" w:type="dxa"/>
            </w:tcMar>
            <w:vAlign w:val="center"/>
          </w:tcPr>
          <w:p w14:paraId="40432EDA">
            <w:pPr>
              <w:widowControl/>
              <w:snapToGrid w:val="0"/>
              <w:spacing w:line="360" w:lineRule="auto"/>
              <w:jc w:val="center"/>
              <w:rPr>
                <w:rFonts w:hint="eastAsia" w:asciiTheme="minorEastAsia" w:hAnsiTheme="minorEastAsia"/>
                <w:sz w:val="24"/>
              </w:rPr>
            </w:pPr>
          </w:p>
        </w:tc>
        <w:tc>
          <w:tcPr>
            <w:tcW w:w="1970" w:type="dxa"/>
            <w:tcBorders>
              <w:top w:val="nil"/>
              <w:left w:val="nil"/>
              <w:bottom w:val="single" w:color="auto" w:sz="6" w:space="0"/>
              <w:right w:val="single" w:color="auto" w:sz="6" w:space="0"/>
            </w:tcBorders>
            <w:tcMar>
              <w:left w:w="105" w:type="dxa"/>
              <w:right w:w="105" w:type="dxa"/>
            </w:tcMar>
            <w:vAlign w:val="center"/>
          </w:tcPr>
          <w:p w14:paraId="6C69411A">
            <w:pPr>
              <w:widowControl/>
              <w:snapToGrid w:val="0"/>
              <w:spacing w:line="360" w:lineRule="auto"/>
              <w:jc w:val="center"/>
              <w:rPr>
                <w:rFonts w:hint="eastAsia" w:asciiTheme="minorEastAsia" w:hAnsiTheme="minorEastAsia"/>
                <w:sz w:val="24"/>
              </w:rPr>
            </w:pPr>
          </w:p>
        </w:tc>
      </w:tr>
      <w:tr w14:paraId="33A2F2DD">
        <w:tblPrEx>
          <w:tblCellMar>
            <w:top w:w="0" w:type="dxa"/>
            <w:left w:w="0" w:type="dxa"/>
            <w:bottom w:w="0" w:type="dxa"/>
            <w:right w:w="0" w:type="dxa"/>
          </w:tblCellMar>
        </w:tblPrEx>
        <w:trPr>
          <w:tblCellSpacing w:w="0" w:type="dxa"/>
          <w:jc w:val="center"/>
        </w:trPr>
        <w:tc>
          <w:tcPr>
            <w:tcW w:w="672" w:type="dxa"/>
            <w:tcBorders>
              <w:top w:val="nil"/>
              <w:left w:val="single" w:color="auto" w:sz="6" w:space="0"/>
              <w:bottom w:val="single" w:color="auto" w:sz="6" w:space="0"/>
              <w:right w:val="single" w:color="auto" w:sz="6" w:space="0"/>
            </w:tcBorders>
            <w:tcMar>
              <w:left w:w="105" w:type="dxa"/>
              <w:right w:w="105" w:type="dxa"/>
            </w:tcMar>
            <w:vAlign w:val="center"/>
          </w:tcPr>
          <w:p w14:paraId="42080D29">
            <w:pPr>
              <w:widowControl/>
              <w:snapToGrid w:val="0"/>
              <w:spacing w:line="360" w:lineRule="auto"/>
              <w:jc w:val="center"/>
              <w:rPr>
                <w:rFonts w:hint="eastAsia" w:asciiTheme="minorEastAsia" w:hAnsiTheme="minorEastAsia"/>
                <w:sz w:val="24"/>
              </w:rPr>
            </w:pPr>
          </w:p>
        </w:tc>
        <w:tc>
          <w:tcPr>
            <w:tcW w:w="1188" w:type="dxa"/>
            <w:tcBorders>
              <w:top w:val="nil"/>
              <w:left w:val="nil"/>
              <w:bottom w:val="single" w:color="auto" w:sz="6" w:space="0"/>
              <w:right w:val="single" w:color="auto" w:sz="6" w:space="0"/>
            </w:tcBorders>
            <w:tcMar>
              <w:left w:w="105" w:type="dxa"/>
              <w:right w:w="105" w:type="dxa"/>
            </w:tcMar>
            <w:vAlign w:val="center"/>
          </w:tcPr>
          <w:p w14:paraId="49EDAB12">
            <w:pPr>
              <w:widowControl/>
              <w:snapToGrid w:val="0"/>
              <w:spacing w:line="360" w:lineRule="auto"/>
              <w:jc w:val="center"/>
              <w:rPr>
                <w:rFonts w:hint="eastAsia" w:asciiTheme="minorEastAsia" w:hAnsiTheme="minorEastAsia"/>
                <w:sz w:val="24"/>
              </w:rPr>
            </w:pPr>
          </w:p>
        </w:tc>
        <w:tc>
          <w:tcPr>
            <w:tcW w:w="923" w:type="dxa"/>
            <w:tcBorders>
              <w:top w:val="nil"/>
              <w:left w:val="nil"/>
              <w:bottom w:val="single" w:color="auto" w:sz="6" w:space="0"/>
              <w:right w:val="single" w:color="auto" w:sz="6" w:space="0"/>
            </w:tcBorders>
            <w:tcMar>
              <w:left w:w="105" w:type="dxa"/>
              <w:right w:w="105" w:type="dxa"/>
            </w:tcMar>
            <w:vAlign w:val="center"/>
          </w:tcPr>
          <w:p w14:paraId="3DC8AED3">
            <w:pPr>
              <w:widowControl/>
              <w:snapToGrid w:val="0"/>
              <w:spacing w:line="360" w:lineRule="auto"/>
              <w:jc w:val="center"/>
              <w:rPr>
                <w:rFonts w:hint="eastAsia" w:asciiTheme="minorEastAsia" w:hAnsiTheme="minorEastAsia"/>
                <w:sz w:val="24"/>
              </w:rPr>
            </w:pPr>
          </w:p>
        </w:tc>
        <w:tc>
          <w:tcPr>
            <w:tcW w:w="1615" w:type="dxa"/>
            <w:tcBorders>
              <w:top w:val="nil"/>
              <w:left w:val="nil"/>
              <w:bottom w:val="single" w:color="auto" w:sz="6" w:space="0"/>
              <w:right w:val="single" w:color="auto" w:sz="6" w:space="0"/>
            </w:tcBorders>
            <w:tcMar>
              <w:left w:w="105" w:type="dxa"/>
              <w:right w:w="105" w:type="dxa"/>
            </w:tcMar>
            <w:vAlign w:val="center"/>
          </w:tcPr>
          <w:p w14:paraId="56E7B3F6">
            <w:pPr>
              <w:widowControl/>
              <w:snapToGrid w:val="0"/>
              <w:spacing w:line="360" w:lineRule="auto"/>
              <w:jc w:val="center"/>
              <w:rPr>
                <w:rFonts w:hint="eastAsia" w:asciiTheme="minorEastAsia" w:hAnsiTheme="minorEastAsia"/>
                <w:sz w:val="24"/>
              </w:rPr>
            </w:pPr>
          </w:p>
        </w:tc>
        <w:tc>
          <w:tcPr>
            <w:tcW w:w="2154" w:type="dxa"/>
            <w:tcBorders>
              <w:top w:val="nil"/>
              <w:left w:val="nil"/>
              <w:bottom w:val="single" w:color="auto" w:sz="6" w:space="0"/>
              <w:right w:val="single" w:color="auto" w:sz="6" w:space="0"/>
            </w:tcBorders>
            <w:tcMar>
              <w:left w:w="105" w:type="dxa"/>
              <w:right w:w="105" w:type="dxa"/>
            </w:tcMar>
            <w:vAlign w:val="center"/>
          </w:tcPr>
          <w:p w14:paraId="11EFC002">
            <w:pPr>
              <w:widowControl/>
              <w:snapToGrid w:val="0"/>
              <w:spacing w:line="360" w:lineRule="auto"/>
              <w:jc w:val="center"/>
              <w:rPr>
                <w:rFonts w:hint="eastAsia" w:asciiTheme="minorEastAsia" w:hAnsiTheme="minorEastAsia"/>
                <w:sz w:val="24"/>
              </w:rPr>
            </w:pPr>
          </w:p>
        </w:tc>
        <w:tc>
          <w:tcPr>
            <w:tcW w:w="1970" w:type="dxa"/>
            <w:tcBorders>
              <w:top w:val="nil"/>
              <w:left w:val="nil"/>
              <w:bottom w:val="single" w:color="auto" w:sz="6" w:space="0"/>
              <w:right w:val="single" w:color="auto" w:sz="6" w:space="0"/>
            </w:tcBorders>
            <w:tcMar>
              <w:left w:w="105" w:type="dxa"/>
              <w:right w:w="105" w:type="dxa"/>
            </w:tcMar>
            <w:vAlign w:val="center"/>
          </w:tcPr>
          <w:p w14:paraId="35A5C5D3">
            <w:pPr>
              <w:widowControl/>
              <w:snapToGrid w:val="0"/>
              <w:spacing w:line="360" w:lineRule="auto"/>
              <w:jc w:val="center"/>
              <w:rPr>
                <w:rFonts w:hint="eastAsia" w:asciiTheme="minorEastAsia" w:hAnsiTheme="minorEastAsia"/>
                <w:sz w:val="24"/>
              </w:rPr>
            </w:pPr>
          </w:p>
        </w:tc>
      </w:tr>
      <w:tr w14:paraId="46BFD80A">
        <w:tblPrEx>
          <w:tblCellMar>
            <w:top w:w="0" w:type="dxa"/>
            <w:left w:w="0" w:type="dxa"/>
            <w:bottom w:w="0" w:type="dxa"/>
            <w:right w:w="0" w:type="dxa"/>
          </w:tblCellMar>
        </w:tblPrEx>
        <w:trPr>
          <w:tblCellSpacing w:w="0" w:type="dxa"/>
          <w:jc w:val="center"/>
        </w:trPr>
        <w:tc>
          <w:tcPr>
            <w:tcW w:w="672" w:type="dxa"/>
            <w:tcBorders>
              <w:top w:val="nil"/>
              <w:left w:val="single" w:color="auto" w:sz="6" w:space="0"/>
              <w:bottom w:val="single" w:color="auto" w:sz="6" w:space="0"/>
              <w:right w:val="single" w:color="auto" w:sz="6" w:space="0"/>
            </w:tcBorders>
            <w:tcMar>
              <w:left w:w="105" w:type="dxa"/>
              <w:right w:w="105" w:type="dxa"/>
            </w:tcMar>
            <w:vAlign w:val="center"/>
          </w:tcPr>
          <w:p w14:paraId="0D4BDF81">
            <w:pPr>
              <w:widowControl/>
              <w:snapToGrid w:val="0"/>
              <w:spacing w:line="360" w:lineRule="auto"/>
              <w:jc w:val="center"/>
              <w:rPr>
                <w:rFonts w:hint="eastAsia" w:asciiTheme="minorEastAsia" w:hAnsiTheme="minorEastAsia"/>
                <w:sz w:val="24"/>
              </w:rPr>
            </w:pPr>
          </w:p>
        </w:tc>
        <w:tc>
          <w:tcPr>
            <w:tcW w:w="1188" w:type="dxa"/>
            <w:tcBorders>
              <w:top w:val="nil"/>
              <w:left w:val="nil"/>
              <w:bottom w:val="single" w:color="auto" w:sz="6" w:space="0"/>
              <w:right w:val="single" w:color="auto" w:sz="6" w:space="0"/>
            </w:tcBorders>
            <w:tcMar>
              <w:left w:w="105" w:type="dxa"/>
              <w:right w:w="105" w:type="dxa"/>
            </w:tcMar>
            <w:vAlign w:val="center"/>
          </w:tcPr>
          <w:p w14:paraId="32CA1BD3">
            <w:pPr>
              <w:widowControl/>
              <w:snapToGrid w:val="0"/>
              <w:spacing w:line="360" w:lineRule="auto"/>
              <w:jc w:val="center"/>
              <w:rPr>
                <w:rFonts w:hint="eastAsia" w:asciiTheme="minorEastAsia" w:hAnsiTheme="minorEastAsia"/>
                <w:sz w:val="24"/>
              </w:rPr>
            </w:pPr>
          </w:p>
        </w:tc>
        <w:tc>
          <w:tcPr>
            <w:tcW w:w="923" w:type="dxa"/>
            <w:tcBorders>
              <w:top w:val="nil"/>
              <w:left w:val="nil"/>
              <w:bottom w:val="single" w:color="auto" w:sz="6" w:space="0"/>
              <w:right w:val="single" w:color="auto" w:sz="6" w:space="0"/>
            </w:tcBorders>
            <w:tcMar>
              <w:left w:w="105" w:type="dxa"/>
              <w:right w:w="105" w:type="dxa"/>
            </w:tcMar>
            <w:vAlign w:val="center"/>
          </w:tcPr>
          <w:p w14:paraId="0E9A3DD4">
            <w:pPr>
              <w:widowControl/>
              <w:snapToGrid w:val="0"/>
              <w:spacing w:line="360" w:lineRule="auto"/>
              <w:jc w:val="center"/>
              <w:rPr>
                <w:rFonts w:hint="eastAsia" w:asciiTheme="minorEastAsia" w:hAnsiTheme="minorEastAsia"/>
                <w:sz w:val="24"/>
              </w:rPr>
            </w:pPr>
          </w:p>
        </w:tc>
        <w:tc>
          <w:tcPr>
            <w:tcW w:w="1615" w:type="dxa"/>
            <w:tcBorders>
              <w:top w:val="nil"/>
              <w:left w:val="nil"/>
              <w:bottom w:val="single" w:color="auto" w:sz="6" w:space="0"/>
              <w:right w:val="single" w:color="auto" w:sz="6" w:space="0"/>
            </w:tcBorders>
            <w:tcMar>
              <w:left w:w="105" w:type="dxa"/>
              <w:right w:w="105" w:type="dxa"/>
            </w:tcMar>
            <w:vAlign w:val="center"/>
          </w:tcPr>
          <w:p w14:paraId="4E42AF21">
            <w:pPr>
              <w:widowControl/>
              <w:snapToGrid w:val="0"/>
              <w:spacing w:line="360" w:lineRule="auto"/>
              <w:jc w:val="center"/>
              <w:rPr>
                <w:rFonts w:hint="eastAsia" w:asciiTheme="minorEastAsia" w:hAnsiTheme="minorEastAsia"/>
                <w:sz w:val="24"/>
              </w:rPr>
            </w:pPr>
          </w:p>
        </w:tc>
        <w:tc>
          <w:tcPr>
            <w:tcW w:w="2154" w:type="dxa"/>
            <w:tcBorders>
              <w:top w:val="nil"/>
              <w:left w:val="nil"/>
              <w:bottom w:val="single" w:color="auto" w:sz="6" w:space="0"/>
              <w:right w:val="single" w:color="auto" w:sz="6" w:space="0"/>
            </w:tcBorders>
            <w:tcMar>
              <w:left w:w="105" w:type="dxa"/>
              <w:right w:w="105" w:type="dxa"/>
            </w:tcMar>
            <w:vAlign w:val="center"/>
          </w:tcPr>
          <w:p w14:paraId="6F4558E8">
            <w:pPr>
              <w:widowControl/>
              <w:snapToGrid w:val="0"/>
              <w:spacing w:line="360" w:lineRule="auto"/>
              <w:jc w:val="center"/>
              <w:rPr>
                <w:rFonts w:hint="eastAsia" w:asciiTheme="minorEastAsia" w:hAnsiTheme="minorEastAsia"/>
                <w:sz w:val="24"/>
              </w:rPr>
            </w:pPr>
          </w:p>
        </w:tc>
        <w:tc>
          <w:tcPr>
            <w:tcW w:w="1970" w:type="dxa"/>
            <w:tcBorders>
              <w:top w:val="nil"/>
              <w:left w:val="nil"/>
              <w:bottom w:val="single" w:color="auto" w:sz="6" w:space="0"/>
              <w:right w:val="single" w:color="auto" w:sz="6" w:space="0"/>
            </w:tcBorders>
            <w:tcMar>
              <w:left w:w="105" w:type="dxa"/>
              <w:right w:w="105" w:type="dxa"/>
            </w:tcMar>
            <w:vAlign w:val="center"/>
          </w:tcPr>
          <w:p w14:paraId="5270A6E7">
            <w:pPr>
              <w:widowControl/>
              <w:snapToGrid w:val="0"/>
              <w:spacing w:line="360" w:lineRule="auto"/>
              <w:jc w:val="center"/>
              <w:rPr>
                <w:rFonts w:hint="eastAsia" w:asciiTheme="minorEastAsia" w:hAnsiTheme="minorEastAsia"/>
                <w:sz w:val="24"/>
              </w:rPr>
            </w:pPr>
          </w:p>
        </w:tc>
      </w:tr>
      <w:tr w14:paraId="53A3158E">
        <w:tblPrEx>
          <w:tblCellMar>
            <w:top w:w="0" w:type="dxa"/>
            <w:left w:w="0" w:type="dxa"/>
            <w:bottom w:w="0" w:type="dxa"/>
            <w:right w:w="0" w:type="dxa"/>
          </w:tblCellMar>
        </w:tblPrEx>
        <w:trPr>
          <w:tblCellSpacing w:w="0" w:type="dxa"/>
          <w:jc w:val="center"/>
        </w:trPr>
        <w:tc>
          <w:tcPr>
            <w:tcW w:w="672" w:type="dxa"/>
            <w:tcBorders>
              <w:top w:val="nil"/>
              <w:left w:val="single" w:color="auto" w:sz="6" w:space="0"/>
              <w:bottom w:val="single" w:color="auto" w:sz="6" w:space="0"/>
              <w:right w:val="single" w:color="auto" w:sz="6" w:space="0"/>
            </w:tcBorders>
            <w:tcMar>
              <w:left w:w="105" w:type="dxa"/>
              <w:right w:w="105" w:type="dxa"/>
            </w:tcMar>
            <w:vAlign w:val="center"/>
          </w:tcPr>
          <w:p w14:paraId="48CFD598">
            <w:pPr>
              <w:widowControl/>
              <w:snapToGrid w:val="0"/>
              <w:spacing w:line="360" w:lineRule="auto"/>
              <w:jc w:val="center"/>
              <w:rPr>
                <w:rFonts w:hint="eastAsia" w:asciiTheme="minorEastAsia" w:hAnsiTheme="minorEastAsia"/>
                <w:sz w:val="24"/>
              </w:rPr>
            </w:pPr>
          </w:p>
        </w:tc>
        <w:tc>
          <w:tcPr>
            <w:tcW w:w="1188" w:type="dxa"/>
            <w:tcBorders>
              <w:top w:val="nil"/>
              <w:left w:val="nil"/>
              <w:bottom w:val="single" w:color="auto" w:sz="6" w:space="0"/>
              <w:right w:val="single" w:color="auto" w:sz="6" w:space="0"/>
            </w:tcBorders>
            <w:tcMar>
              <w:left w:w="105" w:type="dxa"/>
              <w:right w:w="105" w:type="dxa"/>
            </w:tcMar>
            <w:vAlign w:val="center"/>
          </w:tcPr>
          <w:p w14:paraId="6841F984">
            <w:pPr>
              <w:widowControl/>
              <w:snapToGrid w:val="0"/>
              <w:spacing w:line="360" w:lineRule="auto"/>
              <w:jc w:val="center"/>
              <w:rPr>
                <w:rFonts w:hint="eastAsia" w:asciiTheme="minorEastAsia" w:hAnsiTheme="minorEastAsia"/>
                <w:sz w:val="24"/>
              </w:rPr>
            </w:pPr>
          </w:p>
        </w:tc>
        <w:tc>
          <w:tcPr>
            <w:tcW w:w="923" w:type="dxa"/>
            <w:tcBorders>
              <w:top w:val="nil"/>
              <w:left w:val="nil"/>
              <w:bottom w:val="single" w:color="auto" w:sz="6" w:space="0"/>
              <w:right w:val="single" w:color="auto" w:sz="6" w:space="0"/>
            </w:tcBorders>
            <w:tcMar>
              <w:left w:w="105" w:type="dxa"/>
              <w:right w:w="105" w:type="dxa"/>
            </w:tcMar>
            <w:vAlign w:val="center"/>
          </w:tcPr>
          <w:p w14:paraId="460E19DD">
            <w:pPr>
              <w:widowControl/>
              <w:snapToGrid w:val="0"/>
              <w:spacing w:line="360" w:lineRule="auto"/>
              <w:jc w:val="center"/>
              <w:rPr>
                <w:rFonts w:hint="eastAsia" w:asciiTheme="minorEastAsia" w:hAnsiTheme="minorEastAsia"/>
                <w:sz w:val="24"/>
              </w:rPr>
            </w:pPr>
          </w:p>
        </w:tc>
        <w:tc>
          <w:tcPr>
            <w:tcW w:w="1615" w:type="dxa"/>
            <w:tcBorders>
              <w:top w:val="nil"/>
              <w:left w:val="nil"/>
              <w:bottom w:val="single" w:color="auto" w:sz="6" w:space="0"/>
              <w:right w:val="single" w:color="auto" w:sz="6" w:space="0"/>
            </w:tcBorders>
            <w:tcMar>
              <w:left w:w="105" w:type="dxa"/>
              <w:right w:w="105" w:type="dxa"/>
            </w:tcMar>
            <w:vAlign w:val="center"/>
          </w:tcPr>
          <w:p w14:paraId="2603161E">
            <w:pPr>
              <w:widowControl/>
              <w:snapToGrid w:val="0"/>
              <w:spacing w:line="360" w:lineRule="auto"/>
              <w:jc w:val="center"/>
              <w:rPr>
                <w:rFonts w:hint="eastAsia" w:asciiTheme="minorEastAsia" w:hAnsiTheme="minorEastAsia"/>
                <w:sz w:val="24"/>
              </w:rPr>
            </w:pPr>
          </w:p>
        </w:tc>
        <w:tc>
          <w:tcPr>
            <w:tcW w:w="2154" w:type="dxa"/>
            <w:tcBorders>
              <w:top w:val="nil"/>
              <w:left w:val="nil"/>
              <w:bottom w:val="single" w:color="auto" w:sz="6" w:space="0"/>
              <w:right w:val="single" w:color="auto" w:sz="6" w:space="0"/>
            </w:tcBorders>
            <w:tcMar>
              <w:left w:w="105" w:type="dxa"/>
              <w:right w:w="105" w:type="dxa"/>
            </w:tcMar>
            <w:vAlign w:val="center"/>
          </w:tcPr>
          <w:p w14:paraId="5F7446C7">
            <w:pPr>
              <w:widowControl/>
              <w:snapToGrid w:val="0"/>
              <w:spacing w:line="360" w:lineRule="auto"/>
              <w:jc w:val="center"/>
              <w:rPr>
                <w:rFonts w:hint="eastAsia" w:asciiTheme="minorEastAsia" w:hAnsiTheme="minorEastAsia"/>
                <w:sz w:val="24"/>
              </w:rPr>
            </w:pPr>
          </w:p>
        </w:tc>
        <w:tc>
          <w:tcPr>
            <w:tcW w:w="1970" w:type="dxa"/>
            <w:tcBorders>
              <w:top w:val="nil"/>
              <w:left w:val="nil"/>
              <w:bottom w:val="single" w:color="auto" w:sz="6" w:space="0"/>
              <w:right w:val="single" w:color="auto" w:sz="6" w:space="0"/>
            </w:tcBorders>
            <w:tcMar>
              <w:left w:w="105" w:type="dxa"/>
              <w:right w:w="105" w:type="dxa"/>
            </w:tcMar>
            <w:vAlign w:val="center"/>
          </w:tcPr>
          <w:p w14:paraId="0ACC1DE2">
            <w:pPr>
              <w:widowControl/>
              <w:snapToGrid w:val="0"/>
              <w:spacing w:line="360" w:lineRule="auto"/>
              <w:jc w:val="center"/>
              <w:rPr>
                <w:rFonts w:hint="eastAsia" w:asciiTheme="minorEastAsia" w:hAnsiTheme="minorEastAsia"/>
                <w:sz w:val="24"/>
              </w:rPr>
            </w:pPr>
          </w:p>
        </w:tc>
      </w:tr>
      <w:tr w14:paraId="646AC5B2">
        <w:tblPrEx>
          <w:tblCellMar>
            <w:top w:w="0" w:type="dxa"/>
            <w:left w:w="0" w:type="dxa"/>
            <w:bottom w:w="0" w:type="dxa"/>
            <w:right w:w="0" w:type="dxa"/>
          </w:tblCellMar>
        </w:tblPrEx>
        <w:trPr>
          <w:tblCellSpacing w:w="0" w:type="dxa"/>
          <w:jc w:val="center"/>
        </w:trPr>
        <w:tc>
          <w:tcPr>
            <w:tcW w:w="672" w:type="dxa"/>
            <w:tcBorders>
              <w:top w:val="nil"/>
              <w:left w:val="single" w:color="auto" w:sz="6" w:space="0"/>
              <w:bottom w:val="single" w:color="auto" w:sz="6" w:space="0"/>
              <w:right w:val="single" w:color="auto" w:sz="6" w:space="0"/>
            </w:tcBorders>
            <w:tcMar>
              <w:left w:w="105" w:type="dxa"/>
              <w:right w:w="105" w:type="dxa"/>
            </w:tcMar>
            <w:vAlign w:val="center"/>
          </w:tcPr>
          <w:p w14:paraId="327EDA1A">
            <w:pPr>
              <w:widowControl/>
              <w:snapToGrid w:val="0"/>
              <w:spacing w:line="360" w:lineRule="auto"/>
              <w:jc w:val="center"/>
              <w:rPr>
                <w:rFonts w:hint="eastAsia" w:asciiTheme="minorEastAsia" w:hAnsiTheme="minorEastAsia"/>
                <w:sz w:val="24"/>
              </w:rPr>
            </w:pPr>
          </w:p>
        </w:tc>
        <w:tc>
          <w:tcPr>
            <w:tcW w:w="1188" w:type="dxa"/>
            <w:tcBorders>
              <w:top w:val="nil"/>
              <w:left w:val="nil"/>
              <w:bottom w:val="single" w:color="auto" w:sz="6" w:space="0"/>
              <w:right w:val="single" w:color="auto" w:sz="6" w:space="0"/>
            </w:tcBorders>
            <w:tcMar>
              <w:left w:w="105" w:type="dxa"/>
              <w:right w:w="105" w:type="dxa"/>
            </w:tcMar>
            <w:vAlign w:val="center"/>
          </w:tcPr>
          <w:p w14:paraId="4781F867">
            <w:pPr>
              <w:widowControl/>
              <w:snapToGrid w:val="0"/>
              <w:spacing w:line="360" w:lineRule="auto"/>
              <w:jc w:val="center"/>
              <w:rPr>
                <w:rFonts w:hint="eastAsia" w:asciiTheme="minorEastAsia" w:hAnsiTheme="minorEastAsia"/>
                <w:sz w:val="24"/>
              </w:rPr>
            </w:pPr>
          </w:p>
        </w:tc>
        <w:tc>
          <w:tcPr>
            <w:tcW w:w="923" w:type="dxa"/>
            <w:tcBorders>
              <w:top w:val="nil"/>
              <w:left w:val="nil"/>
              <w:bottom w:val="single" w:color="auto" w:sz="6" w:space="0"/>
              <w:right w:val="single" w:color="auto" w:sz="6" w:space="0"/>
            </w:tcBorders>
            <w:tcMar>
              <w:left w:w="105" w:type="dxa"/>
              <w:right w:w="105" w:type="dxa"/>
            </w:tcMar>
            <w:vAlign w:val="center"/>
          </w:tcPr>
          <w:p w14:paraId="602362E7">
            <w:pPr>
              <w:widowControl/>
              <w:snapToGrid w:val="0"/>
              <w:spacing w:line="360" w:lineRule="auto"/>
              <w:jc w:val="center"/>
              <w:rPr>
                <w:rFonts w:hint="eastAsia" w:asciiTheme="minorEastAsia" w:hAnsiTheme="minorEastAsia"/>
                <w:sz w:val="24"/>
              </w:rPr>
            </w:pPr>
          </w:p>
        </w:tc>
        <w:tc>
          <w:tcPr>
            <w:tcW w:w="1615" w:type="dxa"/>
            <w:tcBorders>
              <w:top w:val="nil"/>
              <w:left w:val="nil"/>
              <w:bottom w:val="single" w:color="auto" w:sz="6" w:space="0"/>
              <w:right w:val="single" w:color="auto" w:sz="6" w:space="0"/>
            </w:tcBorders>
            <w:tcMar>
              <w:left w:w="105" w:type="dxa"/>
              <w:right w:w="105" w:type="dxa"/>
            </w:tcMar>
            <w:vAlign w:val="center"/>
          </w:tcPr>
          <w:p w14:paraId="48962FCE">
            <w:pPr>
              <w:widowControl/>
              <w:snapToGrid w:val="0"/>
              <w:spacing w:line="360" w:lineRule="auto"/>
              <w:jc w:val="center"/>
              <w:rPr>
                <w:rFonts w:hint="eastAsia" w:asciiTheme="minorEastAsia" w:hAnsiTheme="minorEastAsia"/>
                <w:sz w:val="24"/>
              </w:rPr>
            </w:pPr>
          </w:p>
        </w:tc>
        <w:tc>
          <w:tcPr>
            <w:tcW w:w="2154" w:type="dxa"/>
            <w:tcBorders>
              <w:top w:val="nil"/>
              <w:left w:val="nil"/>
              <w:bottom w:val="single" w:color="auto" w:sz="6" w:space="0"/>
              <w:right w:val="single" w:color="auto" w:sz="6" w:space="0"/>
            </w:tcBorders>
            <w:tcMar>
              <w:left w:w="105" w:type="dxa"/>
              <w:right w:w="105" w:type="dxa"/>
            </w:tcMar>
            <w:vAlign w:val="center"/>
          </w:tcPr>
          <w:p w14:paraId="44B4BD4A">
            <w:pPr>
              <w:widowControl/>
              <w:snapToGrid w:val="0"/>
              <w:spacing w:line="360" w:lineRule="auto"/>
              <w:jc w:val="center"/>
              <w:rPr>
                <w:rFonts w:hint="eastAsia" w:asciiTheme="minorEastAsia" w:hAnsiTheme="minorEastAsia"/>
                <w:sz w:val="24"/>
              </w:rPr>
            </w:pPr>
          </w:p>
        </w:tc>
        <w:tc>
          <w:tcPr>
            <w:tcW w:w="1970" w:type="dxa"/>
            <w:tcBorders>
              <w:top w:val="nil"/>
              <w:left w:val="nil"/>
              <w:bottom w:val="single" w:color="auto" w:sz="6" w:space="0"/>
              <w:right w:val="single" w:color="auto" w:sz="6" w:space="0"/>
            </w:tcBorders>
            <w:tcMar>
              <w:left w:w="105" w:type="dxa"/>
              <w:right w:w="105" w:type="dxa"/>
            </w:tcMar>
            <w:vAlign w:val="center"/>
          </w:tcPr>
          <w:p w14:paraId="64CE9659">
            <w:pPr>
              <w:widowControl/>
              <w:snapToGrid w:val="0"/>
              <w:spacing w:line="360" w:lineRule="auto"/>
              <w:jc w:val="center"/>
              <w:rPr>
                <w:rFonts w:hint="eastAsia" w:asciiTheme="minorEastAsia" w:hAnsiTheme="minorEastAsia"/>
                <w:sz w:val="24"/>
              </w:rPr>
            </w:pPr>
          </w:p>
        </w:tc>
      </w:tr>
    </w:tbl>
    <w:p w14:paraId="6F2F370C">
      <w:pPr>
        <w:pStyle w:val="13"/>
        <w:widowControl/>
        <w:spacing w:beforeAutospacing="0" w:afterAutospacing="0" w:line="360" w:lineRule="auto"/>
        <w:ind w:firstLine="645"/>
        <w:rPr>
          <w:rFonts w:hint="eastAsia" w:asciiTheme="minorEastAsia" w:hAnsiTheme="minorEastAsia"/>
        </w:rPr>
      </w:pPr>
      <w:r>
        <w:rPr>
          <w:rFonts w:hint="eastAsia" w:cs="宋体" w:asciiTheme="minorEastAsia" w:hAnsiTheme="minorEastAsia"/>
          <w:color w:val="000000"/>
        </w:rPr>
        <w:t> </w:t>
      </w:r>
    </w:p>
    <w:p w14:paraId="015FAB18">
      <w:pPr>
        <w:pStyle w:val="13"/>
        <w:widowControl/>
        <w:spacing w:beforeAutospacing="0" w:afterAutospacing="0" w:line="360" w:lineRule="auto"/>
        <w:ind w:firstLine="480" w:firstLineChars="200"/>
        <w:rPr>
          <w:rFonts w:hint="eastAsia" w:asciiTheme="minorEastAsia" w:hAnsiTheme="minorEastAsia"/>
        </w:rPr>
      </w:pPr>
      <w:r>
        <w:rPr>
          <w:rFonts w:hint="eastAsia" w:cs="宋体" w:asciiTheme="minorEastAsia" w:hAnsiTheme="minorEastAsia"/>
          <w:color w:val="000000"/>
        </w:rPr>
        <w:t>注：1.在填写时，如本表不适合投标单位的实际情况，可自行制表填写。</w:t>
      </w:r>
    </w:p>
    <w:p w14:paraId="4E336234">
      <w:pPr>
        <w:pStyle w:val="13"/>
        <w:widowControl/>
        <w:spacing w:beforeAutospacing="0" w:afterAutospacing="0" w:line="360" w:lineRule="auto"/>
        <w:ind w:firstLine="960" w:firstLineChars="400"/>
        <w:rPr>
          <w:rFonts w:hint="eastAsia" w:cs="宋体" w:asciiTheme="minorEastAsia" w:hAnsiTheme="minorEastAsia"/>
          <w:color w:val="000000"/>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cs="宋体" w:asciiTheme="minorEastAsia" w:hAnsiTheme="minorEastAsia"/>
          <w:color w:val="000000"/>
        </w:rPr>
        <w:t>2.附供应商自2023年以来具有类似项目的业绩证明材料，以提供成交通知书、合同复印件或验收证明为准，原件备查。</w:t>
      </w:r>
    </w:p>
    <w:p w14:paraId="244B3E5C">
      <w:pPr>
        <w:widowControl/>
        <w:jc w:val="left"/>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4FE6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1C30B">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F71C30B">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5F514">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2AC47">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FA2AC47">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8776D"/>
    <w:multiLevelType w:val="singleLevel"/>
    <w:tmpl w:val="37F8776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ZGY4ZTZmYTMwZGQyNzYwMzg2MjY1ZDIyNzc3NDYifQ=="/>
  </w:docVars>
  <w:rsids>
    <w:rsidRoot w:val="00E95A46"/>
    <w:rsid w:val="00030E52"/>
    <w:rsid w:val="000B3966"/>
    <w:rsid w:val="000C07AB"/>
    <w:rsid w:val="00366444"/>
    <w:rsid w:val="004354C7"/>
    <w:rsid w:val="00711EEE"/>
    <w:rsid w:val="007E59D9"/>
    <w:rsid w:val="00905C5D"/>
    <w:rsid w:val="00920EC4"/>
    <w:rsid w:val="009638D7"/>
    <w:rsid w:val="009660D6"/>
    <w:rsid w:val="009C1E2E"/>
    <w:rsid w:val="00C63F99"/>
    <w:rsid w:val="00E641AC"/>
    <w:rsid w:val="00E95A46"/>
    <w:rsid w:val="00F022A4"/>
    <w:rsid w:val="00F91C22"/>
    <w:rsid w:val="00FC70FC"/>
    <w:rsid w:val="02941860"/>
    <w:rsid w:val="03360124"/>
    <w:rsid w:val="04437CCA"/>
    <w:rsid w:val="045A693F"/>
    <w:rsid w:val="05490EAB"/>
    <w:rsid w:val="067B3A34"/>
    <w:rsid w:val="116904C2"/>
    <w:rsid w:val="12B324B9"/>
    <w:rsid w:val="14B15B7E"/>
    <w:rsid w:val="1A6724F9"/>
    <w:rsid w:val="1F4D5417"/>
    <w:rsid w:val="213D22F1"/>
    <w:rsid w:val="213F1DD6"/>
    <w:rsid w:val="21B9340F"/>
    <w:rsid w:val="236F5699"/>
    <w:rsid w:val="23B94855"/>
    <w:rsid w:val="24100698"/>
    <w:rsid w:val="25C20FD8"/>
    <w:rsid w:val="27A53E87"/>
    <w:rsid w:val="29FA77FE"/>
    <w:rsid w:val="2AF719E1"/>
    <w:rsid w:val="2CAA4940"/>
    <w:rsid w:val="2D013F7B"/>
    <w:rsid w:val="2E3F04F3"/>
    <w:rsid w:val="326C240D"/>
    <w:rsid w:val="331E1437"/>
    <w:rsid w:val="34F55B72"/>
    <w:rsid w:val="377534B4"/>
    <w:rsid w:val="38636426"/>
    <w:rsid w:val="38967CF6"/>
    <w:rsid w:val="392C5000"/>
    <w:rsid w:val="3B0A0367"/>
    <w:rsid w:val="3BC67AF5"/>
    <w:rsid w:val="3C2D6B47"/>
    <w:rsid w:val="3EB40371"/>
    <w:rsid w:val="3EC70732"/>
    <w:rsid w:val="42322A22"/>
    <w:rsid w:val="428172A0"/>
    <w:rsid w:val="4334762F"/>
    <w:rsid w:val="438B5212"/>
    <w:rsid w:val="43F75741"/>
    <w:rsid w:val="46056FC0"/>
    <w:rsid w:val="467140CB"/>
    <w:rsid w:val="4B1D4D83"/>
    <w:rsid w:val="4BE07F83"/>
    <w:rsid w:val="4D8731CF"/>
    <w:rsid w:val="4ECF0643"/>
    <w:rsid w:val="511648F9"/>
    <w:rsid w:val="519D4113"/>
    <w:rsid w:val="531C68BE"/>
    <w:rsid w:val="5610727D"/>
    <w:rsid w:val="5A06337D"/>
    <w:rsid w:val="5ACD00E7"/>
    <w:rsid w:val="5B514A6C"/>
    <w:rsid w:val="5BAF2831"/>
    <w:rsid w:val="5BBD7624"/>
    <w:rsid w:val="5CB35DE2"/>
    <w:rsid w:val="5E111E29"/>
    <w:rsid w:val="625A492F"/>
    <w:rsid w:val="63085F63"/>
    <w:rsid w:val="638C3A80"/>
    <w:rsid w:val="648F061D"/>
    <w:rsid w:val="675235DE"/>
    <w:rsid w:val="6C28153E"/>
    <w:rsid w:val="6C5211B2"/>
    <w:rsid w:val="6C6E06E2"/>
    <w:rsid w:val="6D2D0B0D"/>
    <w:rsid w:val="6D4C6EB1"/>
    <w:rsid w:val="6DD561D0"/>
    <w:rsid w:val="6E2847AC"/>
    <w:rsid w:val="736672E4"/>
    <w:rsid w:val="76766A98"/>
    <w:rsid w:val="76F1091F"/>
    <w:rsid w:val="7D5B0573"/>
    <w:rsid w:val="7F927530"/>
    <w:rsid w:val="7FED5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toc 3"/>
    <w:basedOn w:val="1"/>
    <w:next w:val="1"/>
    <w:qFormat/>
    <w:uiPriority w:val="39"/>
    <w:pPr>
      <w:ind w:left="840" w:leftChars="400"/>
    </w:pPr>
  </w:style>
  <w:style w:type="paragraph" w:styleId="6">
    <w:name w:val="Plain Text"/>
    <w:basedOn w:val="1"/>
    <w:qFormat/>
    <w:uiPriority w:val="99"/>
    <w:rPr>
      <w:rFonts w:ascii="宋体" w:hAnsi="宋体" w:cs="Courier New"/>
    </w:rPr>
  </w:style>
  <w:style w:type="paragraph" w:styleId="7">
    <w:name w:val="Balloon Text"/>
    <w:basedOn w:val="1"/>
    <w:link w:val="23"/>
    <w:qFormat/>
    <w:uiPriority w:val="0"/>
    <w:rPr>
      <w:sz w:val="18"/>
      <w:szCs w:val="18"/>
    </w:rPr>
  </w:style>
  <w:style w:type="paragraph" w:styleId="8">
    <w:name w:val="footer"/>
    <w:basedOn w:val="1"/>
    <w:link w:val="26"/>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Message Header"/>
    <w:basedOn w:val="1"/>
    <w:next w:val="4"/>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sz w:val="28"/>
    </w:rPr>
  </w:style>
  <w:style w:type="paragraph" w:styleId="13">
    <w:name w:val="Normal (Web)"/>
    <w:basedOn w:val="1"/>
    <w:qFormat/>
    <w:uiPriority w:val="0"/>
    <w:pPr>
      <w:spacing w:beforeAutospacing="1" w:afterAutospacing="1"/>
      <w:jc w:val="left"/>
    </w:pPr>
    <w:rPr>
      <w:rFonts w:cs="Times New Roman"/>
      <w:kern w:val="0"/>
      <w:sz w:val="24"/>
    </w:rPr>
  </w:style>
  <w:style w:type="character" w:styleId="16">
    <w:name w:val="Strong"/>
    <w:basedOn w:val="15"/>
    <w:qFormat/>
    <w:uiPriority w:val="0"/>
    <w:rPr>
      <w:b/>
    </w:rPr>
  </w:style>
  <w:style w:type="character" w:styleId="17">
    <w:name w:val="page number"/>
    <w:qFormat/>
    <w:uiPriority w:val="0"/>
  </w:style>
  <w:style w:type="character" w:styleId="18">
    <w:name w:val="Hyperlink"/>
    <w:basedOn w:val="15"/>
    <w:unhideWhenUsed/>
    <w:qFormat/>
    <w:uiPriority w:val="99"/>
    <w:rPr>
      <w:color w:val="0026E5" w:themeColor="hyperlink"/>
      <w:u w:val="single"/>
      <w14:textFill>
        <w14:solidFill>
          <w14:schemeClr w14:val="hlink"/>
        </w14:solidFill>
      </w14:textFill>
    </w:rPr>
  </w:style>
  <w:style w:type="paragraph" w:customStyle="1" w:styleId="19">
    <w:name w:val="Body Text First Indent1"/>
    <w:basedOn w:val="8"/>
    <w:qFormat/>
    <w:uiPriority w:val="0"/>
    <w:pPr>
      <w:spacing w:line="360" w:lineRule="auto"/>
      <w:ind w:firstLine="420" w:firstLineChars="100"/>
    </w:pPr>
  </w:style>
  <w:style w:type="paragraph" w:customStyle="1" w:styleId="2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
    <w:qFormat/>
    <w:uiPriority w:val="0"/>
    <w:pPr>
      <w:widowControl w:val="0"/>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22">
    <w:name w:val="表格文字"/>
    <w:basedOn w:val="1"/>
    <w:next w:val="4"/>
    <w:qFormat/>
    <w:uiPriority w:val="0"/>
    <w:pPr>
      <w:spacing w:before="25" w:after="25"/>
      <w:jc w:val="left"/>
    </w:pPr>
    <w:rPr>
      <w:bCs/>
      <w:spacing w:val="10"/>
      <w:kern w:val="0"/>
      <w:sz w:val="24"/>
      <w:szCs w:val="20"/>
    </w:rPr>
  </w:style>
  <w:style w:type="character" w:customStyle="1" w:styleId="23">
    <w:name w:val="批注框文本 字符"/>
    <w:basedOn w:val="15"/>
    <w:link w:val="7"/>
    <w:qFormat/>
    <w:uiPriority w:val="0"/>
    <w:rPr>
      <w:rFonts w:asciiTheme="minorHAnsi" w:hAnsiTheme="minorHAnsi" w:eastAsiaTheme="minorEastAsia" w:cstheme="minorBidi"/>
      <w:kern w:val="2"/>
      <w:sz w:val="18"/>
      <w:szCs w:val="18"/>
    </w:rPr>
  </w:style>
  <w:style w:type="paragraph" w:customStyle="1" w:styleId="2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character" w:customStyle="1" w:styleId="25">
    <w:name w:val="标题 2 字符"/>
    <w:basedOn w:val="15"/>
    <w:link w:val="3"/>
    <w:semiHidden/>
    <w:qFormat/>
    <w:uiPriority w:val="0"/>
    <w:rPr>
      <w:rFonts w:asciiTheme="majorHAnsi" w:hAnsiTheme="majorHAnsi" w:eastAsiaTheme="majorEastAsia" w:cstheme="majorBidi"/>
      <w:b/>
      <w:bCs/>
      <w:kern w:val="2"/>
      <w:sz w:val="32"/>
      <w:szCs w:val="32"/>
    </w:rPr>
  </w:style>
  <w:style w:type="character" w:customStyle="1" w:styleId="26">
    <w:name w:val="页脚 字符"/>
    <w:basedOn w:val="15"/>
    <w:link w:val="8"/>
    <w:qFormat/>
    <w:uiPriority w:val="99"/>
    <w:rPr>
      <w:rFonts w:asciiTheme="minorHAnsi" w:hAnsiTheme="minorHAnsi" w:eastAsiaTheme="minorEastAsia" w:cstheme="minorBidi"/>
      <w:kern w:val="2"/>
      <w:sz w:val="18"/>
      <w:szCs w:val="18"/>
    </w:rPr>
  </w:style>
  <w:style w:type="paragraph" w:customStyle="1" w:styleId="2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55409-BD65-4C82-89E5-D50B2F11423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5279</Words>
  <Characters>5518</Characters>
  <Lines>294</Lines>
  <Paragraphs>222</Paragraphs>
  <TotalTime>47</TotalTime>
  <ScaleCrop>false</ScaleCrop>
  <LinksUpToDate>false</LinksUpToDate>
  <CharactersWithSpaces>6143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2026-01-22T07:59:00Z</dcterms:created>
  <dc:creator>Administrator.USER-20201009QZ</dc:creator>
  <cp:lastModifiedBy>8237197289</cp:lastModifiedBy>
  <cp:lastPrinted>2026-03-05T02:11:00Z</cp:lastPrinted>
  <dcterms:modified xsi:type="dcterms:W3CDTF">2026-03-16T09:34:56Z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eyJoZGlkIjoiMDEzNDc4ODA3OGI4MjJlMjJjM2M0MjEzMzRlNDc3MDciLCJ1c2VySWQiOiIxNjcxOTk1NTMxIn0=</vt:lpwstr>
  </property>
  <property fmtid="{D5CDD505-2E9C-101B-9397-08002B2CF9AE}" pid="4" name="ICV">
    <vt:lpwstr>F9D770081DAB48B2B1BC206C98BF86D2_13</vt:lpwstr>
  </property>
</Properties>
</file>